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Default="00723D25" w:rsidP="00723D25">
      <w:pPr>
        <w:pStyle w:val="Legenda"/>
        <w:jc w:val="center"/>
        <w:rPr>
          <w:rFonts w:asciiTheme="minorHAnsi" w:hAnsiTheme="minorHAnsi" w:cstheme="minorHAnsi"/>
          <w:b/>
          <w:sz w:val="36"/>
          <w:szCs w:val="36"/>
        </w:rPr>
      </w:pPr>
    </w:p>
    <w:p w:rsidR="00723D25" w:rsidRPr="002316AB" w:rsidRDefault="00723D25" w:rsidP="00723D25">
      <w:pPr>
        <w:pStyle w:val="Legenda"/>
        <w:jc w:val="center"/>
        <w:rPr>
          <w:rFonts w:asciiTheme="minorHAnsi" w:hAnsiTheme="minorHAnsi" w:cstheme="minorHAnsi"/>
          <w:b/>
          <w:sz w:val="36"/>
          <w:szCs w:val="36"/>
        </w:rPr>
      </w:pPr>
      <w:r w:rsidRPr="002316AB">
        <w:rPr>
          <w:rFonts w:asciiTheme="minorHAnsi" w:hAnsiTheme="minorHAnsi" w:cstheme="minorHAnsi"/>
          <w:b/>
          <w:sz w:val="36"/>
          <w:szCs w:val="36"/>
        </w:rPr>
        <w:t>SPECYFIKACJA TECHNICZNA WYKONANIA I ODBIORU ROBÓT</w:t>
      </w:r>
    </w:p>
    <w:p w:rsidR="00723D25" w:rsidRDefault="00723D25" w:rsidP="00723D25">
      <w:pPr>
        <w:pStyle w:val="Legenda"/>
        <w:jc w:val="center"/>
        <w:rPr>
          <w:rFonts w:asciiTheme="minorHAnsi" w:hAnsiTheme="minorHAnsi" w:cstheme="minorHAnsi"/>
          <w:sz w:val="36"/>
          <w:szCs w:val="36"/>
        </w:rPr>
      </w:pPr>
      <w:r w:rsidRPr="002316AB">
        <w:rPr>
          <w:rFonts w:asciiTheme="minorHAnsi" w:hAnsiTheme="minorHAnsi" w:cstheme="minorHAnsi"/>
          <w:sz w:val="36"/>
          <w:szCs w:val="36"/>
        </w:rPr>
        <w:t>D-0</w:t>
      </w:r>
      <w:r>
        <w:rPr>
          <w:rFonts w:asciiTheme="minorHAnsi" w:hAnsiTheme="minorHAnsi" w:cstheme="minorHAnsi"/>
          <w:sz w:val="36"/>
          <w:szCs w:val="36"/>
        </w:rPr>
        <w:t>4</w:t>
      </w:r>
      <w:r w:rsidRPr="002316AB">
        <w:rPr>
          <w:rFonts w:asciiTheme="minorHAnsi" w:hAnsiTheme="minorHAnsi" w:cstheme="minorHAnsi"/>
          <w:sz w:val="36"/>
          <w:szCs w:val="36"/>
        </w:rPr>
        <w:t>.0</w:t>
      </w:r>
      <w:r>
        <w:rPr>
          <w:rFonts w:asciiTheme="minorHAnsi" w:hAnsiTheme="minorHAnsi" w:cstheme="minorHAnsi"/>
          <w:sz w:val="36"/>
          <w:szCs w:val="36"/>
        </w:rPr>
        <w:t>4</w:t>
      </w:r>
      <w:r w:rsidRPr="002316AB">
        <w:rPr>
          <w:rFonts w:asciiTheme="minorHAnsi" w:hAnsiTheme="minorHAnsi" w:cstheme="minorHAnsi"/>
          <w:sz w:val="36"/>
          <w:szCs w:val="36"/>
        </w:rPr>
        <w:t>.0</w:t>
      </w:r>
      <w:r w:rsidR="003805B5">
        <w:rPr>
          <w:rFonts w:asciiTheme="minorHAnsi" w:hAnsiTheme="minorHAnsi" w:cstheme="minorHAnsi"/>
          <w:sz w:val="36"/>
          <w:szCs w:val="36"/>
        </w:rPr>
        <w:t>4</w:t>
      </w:r>
      <w:r w:rsidRPr="002316AB">
        <w:rPr>
          <w:rFonts w:asciiTheme="minorHAnsi" w:hAnsiTheme="minorHAnsi" w:cstheme="minorHAnsi"/>
          <w:sz w:val="36"/>
          <w:szCs w:val="36"/>
        </w:rPr>
        <w:t xml:space="preserve"> </w:t>
      </w:r>
      <w:r>
        <w:rPr>
          <w:rFonts w:asciiTheme="minorHAnsi" w:hAnsiTheme="minorHAnsi" w:cstheme="minorHAnsi"/>
          <w:sz w:val="36"/>
          <w:szCs w:val="36"/>
        </w:rPr>
        <w:t xml:space="preserve">Podbudowa z </w:t>
      </w:r>
      <w:r w:rsidR="003805B5">
        <w:rPr>
          <w:rFonts w:asciiTheme="minorHAnsi" w:hAnsiTheme="minorHAnsi" w:cstheme="minorHAnsi"/>
          <w:sz w:val="36"/>
          <w:szCs w:val="36"/>
        </w:rPr>
        <w:t>tłucznia kamiennego</w:t>
      </w:r>
    </w:p>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Default="00723D25" w:rsidP="00723D25"/>
    <w:p w:rsidR="00723D25" w:rsidRPr="002D0C4C" w:rsidRDefault="00723D25" w:rsidP="00723D25"/>
    <w:p w:rsidR="00723D25" w:rsidRPr="00B34430" w:rsidRDefault="00723D25" w:rsidP="00723D25">
      <w:pPr>
        <w:pStyle w:val="Legenda"/>
        <w:jc w:val="center"/>
        <w:rPr>
          <w:rFonts w:asciiTheme="minorHAnsi" w:hAnsiTheme="minorHAnsi" w:cstheme="minorHAnsi"/>
          <w:b/>
          <w:szCs w:val="24"/>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 WSTĘP</w:t>
      </w: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1.1. Przedmiot SST</w:t>
      </w: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rPr>
        <w:t xml:space="preserve">Przedmiotem niniejszej szczegółowej specyfikacji technicznej (SST) są wymagania techniczne dotyczące wykonania i odbioru robót wykonaniem podbudowy i wyrównanie z tłucznia kamiennego </w:t>
      </w:r>
      <w:r w:rsidR="00A32AE1" w:rsidRPr="00144271">
        <w:rPr>
          <w:rFonts w:asciiTheme="minorHAnsi" w:hAnsiTheme="minorHAnsi" w:cstheme="minorHAnsi"/>
        </w:rPr>
        <w:t xml:space="preserve">w związku </w:t>
      </w:r>
      <w:r w:rsidR="00A32AE1">
        <w:rPr>
          <w:rFonts w:asciiTheme="minorHAnsi" w:hAnsiTheme="minorHAnsi" w:cstheme="minorHAnsi"/>
          <w:snapToGrid w:val="0"/>
        </w:rPr>
        <w:t>z</w:t>
      </w:r>
      <w:r w:rsidR="00A32AE1">
        <w:rPr>
          <w:rFonts w:asciiTheme="minorHAnsi" w:hAnsiTheme="minorHAnsi" w:cstheme="minorHAnsi"/>
        </w:rPr>
        <w:t xml:space="preserve"> </w:t>
      </w:r>
      <w:r w:rsidR="00A32AE1">
        <w:rPr>
          <w:rFonts w:ascii="Calibri" w:hAnsi="Calibri" w:cs="Calibri"/>
        </w:rPr>
        <w:t>przebudow</w:t>
      </w:r>
      <w:r w:rsidR="00A32AE1">
        <w:rPr>
          <w:rFonts w:asciiTheme="minorHAnsi" w:hAnsiTheme="minorHAnsi" w:cstheme="minorHAnsi"/>
        </w:rPr>
        <w:t xml:space="preserve">ą </w:t>
      </w:r>
      <w:r w:rsidR="00A32AE1">
        <w:rPr>
          <w:rFonts w:ascii="Calibri" w:hAnsi="Calibri" w:cs="Calibri"/>
        </w:rPr>
        <w:t>ulicy Cichej w Suszcu na odcinku o długości około 180 mb”.</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1.2. Zakres stosowania SST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 xml:space="preserve">Szczegółowa specyfikacja techniczna (SST) jest stosowana jako dokument przetargowy i kontraktowy przy zlecaniu i realizacji robót wymienionych w </w:t>
      </w:r>
      <w:proofErr w:type="spellStart"/>
      <w:r w:rsidRPr="00B34430">
        <w:rPr>
          <w:rFonts w:asciiTheme="minorHAnsi" w:hAnsiTheme="minorHAnsi" w:cstheme="minorHAnsi"/>
        </w:rPr>
        <w:t>pkt</w:t>
      </w:r>
      <w:proofErr w:type="spellEnd"/>
      <w:r w:rsidRPr="00B34430">
        <w:rPr>
          <w:rFonts w:asciiTheme="minorHAnsi" w:hAnsiTheme="minorHAnsi" w:cstheme="minorHAnsi"/>
        </w:rPr>
        <w:t xml:space="preserve"> 1.3.</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1.3. Zakres robót objętych SST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Ustalenia zawarte w niniejszej specyfikacji dotyczą prowadzenia robót i obejmują;</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wykonanie podbudowy o grubości (wg dokumentacji) z tłucznia kamiennego</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1.4. Określenia podstawowe</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Określenia stosowane w niniejszej szczegółowej specyfikacji technicznej są zgodne z określeniami stosowanymi w przedmiotowych normach państwowych i branżowych. Podbudowa z tłucznia kamiennego – cześć konstrukcji nawierzchni składająca się z jednej lub więcej warstw nośnych z tłucznia i klińca kamiennego:</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 xml:space="preserve">Tłuczeń - kruszywo łamane zwykłe o wielkości ziaren od </w:t>
      </w:r>
      <w:smartTag w:uri="urn:schemas-microsoft-com:office:smarttags" w:element="metricconverter">
        <w:smartTagPr>
          <w:attr w:name="ProductID" w:val="31,5 mm"/>
        </w:smartTagPr>
        <w:r w:rsidRPr="00B34430">
          <w:rPr>
            <w:rFonts w:asciiTheme="minorHAnsi" w:hAnsiTheme="minorHAnsi" w:cstheme="minorHAnsi"/>
          </w:rPr>
          <w:t>31,5 mm</w:t>
        </w:r>
      </w:smartTag>
      <w:r w:rsidRPr="00B34430">
        <w:rPr>
          <w:rFonts w:asciiTheme="minorHAnsi" w:hAnsiTheme="minorHAnsi" w:cstheme="minorHAnsi"/>
        </w:rPr>
        <w:t xml:space="preserve"> do </w:t>
      </w:r>
      <w:smartTag w:uri="urn:schemas-microsoft-com:office:smarttags" w:element="metricconverter">
        <w:smartTagPr>
          <w:attr w:name="ProductID" w:val="63 mm"/>
        </w:smartTagPr>
        <w:r w:rsidRPr="00B34430">
          <w:rPr>
            <w:rFonts w:asciiTheme="minorHAnsi" w:hAnsiTheme="minorHAnsi" w:cstheme="minorHAnsi"/>
          </w:rPr>
          <w:t>63 mm</w:t>
        </w:r>
      </w:smartTag>
      <w:r w:rsidRPr="00B34430">
        <w:rPr>
          <w:rFonts w:asciiTheme="minorHAnsi" w:hAnsiTheme="minorHAnsi" w:cstheme="minorHAnsi"/>
        </w:rPr>
        <w:t>,</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 xml:space="preserve">Kliniec - kruszywo łamane zwykłe o wielkości ziaren od </w:t>
      </w:r>
      <w:smartTag w:uri="urn:schemas-microsoft-com:office:smarttags" w:element="metricconverter">
        <w:smartTagPr>
          <w:attr w:name="ProductID" w:val="5 mm"/>
        </w:smartTagPr>
        <w:r w:rsidRPr="00B34430">
          <w:rPr>
            <w:rFonts w:asciiTheme="minorHAnsi" w:hAnsiTheme="minorHAnsi" w:cstheme="minorHAnsi"/>
          </w:rPr>
          <w:t>5 mm</w:t>
        </w:r>
      </w:smartTag>
      <w:r w:rsidRPr="00B34430">
        <w:rPr>
          <w:rFonts w:asciiTheme="minorHAnsi" w:hAnsiTheme="minorHAnsi" w:cstheme="minorHAnsi"/>
        </w:rPr>
        <w:t xml:space="preserve"> do </w:t>
      </w:r>
      <w:smartTag w:uri="urn:schemas-microsoft-com:office:smarttags" w:element="metricconverter">
        <w:smartTagPr>
          <w:attr w:name="ProductID" w:val="25 mm"/>
        </w:smartTagPr>
        <w:r w:rsidRPr="00B34430">
          <w:rPr>
            <w:rFonts w:asciiTheme="minorHAnsi" w:hAnsiTheme="minorHAnsi" w:cstheme="minorHAnsi"/>
          </w:rPr>
          <w:t>25 mm</w:t>
        </w:r>
      </w:smartTag>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2. MATERIAŁY</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2.1. Rodzaje materiałów</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Materiały do wykonania dolnej i górnej warstwy podbudowy z tłucznia kamiennego WG pN-S-96023 [9], są:</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kruszywo łamane zwykłe: tłuczeń i kliniec, wg PN-B-11112,</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woda do skropienia podczas wałowania i klinowania.</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Z uwagi na zmienną grubość warstw podbudowy należy wykonywać ją z tłucznia:</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Warstwę podbudowy wykonuje się:</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 xml:space="preserve">mieszanka kruszywa łamanego od </w:t>
      </w:r>
      <w:smartTag w:uri="urn:schemas-microsoft-com:office:smarttags" w:element="metricconverter">
        <w:smartTagPr>
          <w:attr w:name="ProductID" w:val="25 mm"/>
        </w:smartTagPr>
        <w:r w:rsidRPr="00B34430">
          <w:rPr>
            <w:rFonts w:asciiTheme="minorHAnsi" w:hAnsiTheme="minorHAnsi" w:cstheme="minorHAnsi"/>
          </w:rPr>
          <w:t>25 mm</w:t>
        </w:r>
      </w:smartTag>
      <w:r w:rsidRPr="00B34430">
        <w:rPr>
          <w:rFonts w:asciiTheme="minorHAnsi" w:hAnsiTheme="minorHAnsi" w:cstheme="minorHAnsi"/>
        </w:rPr>
        <w:t xml:space="preserve"> do </w:t>
      </w:r>
      <w:smartTag w:uri="urn:schemas-microsoft-com:office:smarttags" w:element="metricconverter">
        <w:smartTagPr>
          <w:attr w:name="ProductID" w:val="40 mm"/>
        </w:smartTagPr>
        <w:r w:rsidRPr="00B34430">
          <w:rPr>
            <w:rFonts w:asciiTheme="minorHAnsi" w:hAnsiTheme="minorHAnsi" w:cstheme="minorHAnsi"/>
          </w:rPr>
          <w:t>40 mm</w:t>
        </w:r>
      </w:smartTag>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 xml:space="preserve">kliniec kamienny od </w:t>
      </w:r>
      <w:smartTag w:uri="urn:schemas-microsoft-com:office:smarttags" w:element="metricconverter">
        <w:smartTagPr>
          <w:attr w:name="ProductID" w:val="5 mm"/>
        </w:smartTagPr>
        <w:r w:rsidRPr="00B34430">
          <w:rPr>
            <w:rFonts w:asciiTheme="minorHAnsi" w:hAnsiTheme="minorHAnsi" w:cstheme="minorHAnsi"/>
          </w:rPr>
          <w:t>5 mm</w:t>
        </w:r>
      </w:smartTag>
      <w:r w:rsidRPr="00B34430">
        <w:rPr>
          <w:rFonts w:asciiTheme="minorHAnsi" w:hAnsiTheme="minorHAnsi" w:cstheme="minorHAnsi"/>
        </w:rPr>
        <w:t xml:space="preserve"> do </w:t>
      </w:r>
      <w:smartTag w:uri="urn:schemas-microsoft-com:office:smarttags" w:element="metricconverter">
        <w:smartTagPr>
          <w:attr w:name="ProductID" w:val="16 mm"/>
        </w:smartTagPr>
        <w:r w:rsidRPr="00B34430">
          <w:rPr>
            <w:rFonts w:asciiTheme="minorHAnsi" w:hAnsiTheme="minorHAnsi" w:cstheme="minorHAnsi"/>
          </w:rPr>
          <w:t>16 mm</w:t>
        </w:r>
      </w:smartTag>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miał kamienny</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2.3. Wymagania dla kruszywa</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Do wykonania podbudowy należy użyć następujące rodzaje kruszywa wg PN-B-11112:</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t>tłuczeń kamienny od 31,5mm do 63mm</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hanging="1548"/>
        <w:jc w:val="left"/>
        <w:rPr>
          <w:rFonts w:asciiTheme="minorHAnsi" w:hAnsiTheme="minorHAnsi" w:cstheme="minorHAnsi"/>
        </w:rPr>
      </w:pPr>
      <w:r w:rsidRPr="00B34430">
        <w:rPr>
          <w:rFonts w:asciiTheme="minorHAnsi" w:hAnsiTheme="minorHAnsi" w:cstheme="minorHAnsi"/>
        </w:rPr>
        <w:lastRenderedPageBreak/>
        <w:t>kliniec od 5mm do 25mm</w:t>
      </w:r>
    </w:p>
    <w:p w:rsidR="00B34430" w:rsidRPr="00B34430" w:rsidRDefault="00B34430" w:rsidP="00A32AE1">
      <w:pPr>
        <w:numPr>
          <w:ilvl w:val="0"/>
          <w:numId w:val="7"/>
        </w:numPr>
        <w:tabs>
          <w:tab w:val="clear" w:pos="1788"/>
          <w:tab w:val="num" w:pos="600"/>
        </w:tabs>
        <w:autoSpaceDE w:val="0"/>
        <w:autoSpaceDN w:val="0"/>
        <w:adjustRightInd w:val="0"/>
        <w:spacing w:line="276" w:lineRule="auto"/>
        <w:ind w:left="600"/>
        <w:rPr>
          <w:rFonts w:asciiTheme="minorHAnsi" w:hAnsiTheme="minorHAnsi" w:cstheme="minorHAnsi"/>
        </w:rPr>
      </w:pPr>
      <w:r w:rsidRPr="00B34430">
        <w:rPr>
          <w:rFonts w:asciiTheme="minorHAnsi" w:hAnsiTheme="minorHAnsi" w:cstheme="minorHAnsi"/>
        </w:rPr>
        <w:t>kruszywo do klinowania – kliniec od 4mm do 20mm Jakość kruszywa powinna być zgodna z wymaganiami normy PN-B-11112, określonymi dla klasy co najmniej II – dla podbudowy zasadniczej. Do jednowarstwowych podbudów lub podbudowy zasadniczej należy stosować kruszywo gatunku co najmniej 2.</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 xml:space="preserve">Wymagania dotyczące kruszywa przedstawiono w Tablicy I </w:t>
      </w:r>
      <w:proofErr w:type="spellStart"/>
      <w:r w:rsidRPr="00B34430">
        <w:rPr>
          <w:rFonts w:asciiTheme="minorHAnsi" w:hAnsiTheme="minorHAnsi" w:cstheme="minorHAnsi"/>
        </w:rPr>
        <w:t>i</w:t>
      </w:r>
      <w:proofErr w:type="spellEnd"/>
      <w:r w:rsidRPr="00B34430">
        <w:rPr>
          <w:rFonts w:asciiTheme="minorHAnsi" w:hAnsiTheme="minorHAnsi" w:cstheme="minorHAnsi"/>
        </w:rPr>
        <w:t xml:space="preserve"> II</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Tablica I.</w:t>
      </w: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 xml:space="preserve">WYMAGANIA DOTYCZĄCE TŁUCZNIA I KLIŃCA wg PN-B-11112 </w:t>
      </w:r>
    </w:p>
    <w:tbl>
      <w:tblPr>
        <w:tblStyle w:val="Tabela-Siatka"/>
        <w:tblW w:w="9747" w:type="dxa"/>
        <w:tblLook w:val="01E0"/>
      </w:tblPr>
      <w:tblGrid>
        <w:gridCol w:w="817"/>
        <w:gridCol w:w="6840"/>
        <w:gridCol w:w="2090"/>
      </w:tblGrid>
      <w:tr w:rsidR="00B34430" w:rsidRPr="00A32AE1" w:rsidTr="00A32AE1">
        <w:tc>
          <w:tcPr>
            <w:tcW w:w="817"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b/>
                <w:bCs/>
                <w:sz w:val="20"/>
                <w:szCs w:val="20"/>
              </w:rPr>
              <w:t>Lp.</w:t>
            </w:r>
          </w:p>
        </w:tc>
        <w:tc>
          <w:tcPr>
            <w:tcW w:w="684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b/>
                <w:bCs/>
                <w:sz w:val="20"/>
                <w:szCs w:val="20"/>
              </w:rPr>
              <w:t>WŁAŚCIWOŚCI</w:t>
            </w:r>
          </w:p>
        </w:tc>
        <w:tc>
          <w:tcPr>
            <w:tcW w:w="209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b/>
                <w:bCs/>
                <w:sz w:val="20"/>
                <w:szCs w:val="20"/>
              </w:rPr>
            </w:pPr>
            <w:r w:rsidRPr="00A32AE1">
              <w:rPr>
                <w:rFonts w:asciiTheme="minorHAnsi" w:hAnsiTheme="minorHAnsi" w:cstheme="minorHAnsi"/>
                <w:b/>
                <w:bCs/>
                <w:sz w:val="20"/>
                <w:szCs w:val="20"/>
              </w:rPr>
              <w:t>WYMAGANIA</w:t>
            </w:r>
          </w:p>
        </w:tc>
      </w:tr>
      <w:tr w:rsidR="00B34430" w:rsidRPr="00A32AE1" w:rsidTr="00A32AE1">
        <w:tc>
          <w:tcPr>
            <w:tcW w:w="817"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1</w:t>
            </w:r>
          </w:p>
        </w:tc>
        <w:tc>
          <w:tcPr>
            <w:tcW w:w="6840" w:type="dxa"/>
          </w:tcPr>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xml:space="preserve">Ścieralność w bębnie Los Angeles </w:t>
            </w:r>
            <w:proofErr w:type="spellStart"/>
            <w:r w:rsidRPr="00A32AE1">
              <w:rPr>
                <w:rFonts w:asciiTheme="minorHAnsi" w:hAnsiTheme="minorHAnsi" w:cstheme="minorHAnsi"/>
                <w:sz w:val="20"/>
                <w:szCs w:val="20"/>
              </w:rPr>
              <w:t>wg</w:t>
            </w:r>
            <w:proofErr w:type="spellEnd"/>
            <w:r w:rsidRPr="00A32AE1">
              <w:rPr>
                <w:rFonts w:asciiTheme="minorHAnsi" w:hAnsiTheme="minorHAnsi" w:cstheme="minorHAnsi"/>
                <w:sz w:val="20"/>
                <w:szCs w:val="20"/>
              </w:rPr>
              <w:t>. PN-79/B-06714</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po pełnej liczbie obrotów, % (procentowy) ubytek masy nie więcej niż:</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w tłuczniu</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w klińcu</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po 1/5 pełnej liczby obrotów, % (procentowy) ubytek masy w stosunku do ubytku masy po pełnej liczbie obrotów nie więcej niż:</w:t>
            </w:r>
          </w:p>
        </w:tc>
        <w:tc>
          <w:tcPr>
            <w:tcW w:w="209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35</w:t>
            </w: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40</w:t>
            </w: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30</w:t>
            </w:r>
          </w:p>
        </w:tc>
      </w:tr>
      <w:tr w:rsidR="00B34430" w:rsidRPr="00A32AE1" w:rsidTr="00A32AE1">
        <w:tc>
          <w:tcPr>
            <w:tcW w:w="817"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2</w:t>
            </w:r>
          </w:p>
        </w:tc>
        <w:tc>
          <w:tcPr>
            <w:tcW w:w="6840" w:type="dxa"/>
          </w:tcPr>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xml:space="preserve">Nasiąkliwość </w:t>
            </w:r>
            <w:proofErr w:type="spellStart"/>
            <w:r w:rsidRPr="00A32AE1">
              <w:rPr>
                <w:rFonts w:asciiTheme="minorHAnsi" w:hAnsiTheme="minorHAnsi" w:cstheme="minorHAnsi"/>
                <w:sz w:val="20"/>
                <w:szCs w:val="20"/>
              </w:rPr>
              <w:t>wg</w:t>
            </w:r>
            <w:proofErr w:type="spellEnd"/>
            <w:r w:rsidRPr="00A32AE1">
              <w:rPr>
                <w:rFonts w:asciiTheme="minorHAnsi" w:hAnsiTheme="minorHAnsi" w:cstheme="minorHAnsi"/>
                <w:sz w:val="20"/>
                <w:szCs w:val="20"/>
              </w:rPr>
              <w:t>. PN-77/B-06714 w % (procentach) nie więcej niż:</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dla kruszyw ze skal magmowych i przeobrażonych</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dla kruszyw ze skal osadowych</w:t>
            </w:r>
          </w:p>
        </w:tc>
        <w:tc>
          <w:tcPr>
            <w:tcW w:w="209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2,0</w:t>
            </w: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3,0</w:t>
            </w:r>
          </w:p>
        </w:tc>
      </w:tr>
      <w:tr w:rsidR="00B34430" w:rsidRPr="00A32AE1" w:rsidTr="00A32AE1">
        <w:tc>
          <w:tcPr>
            <w:tcW w:w="817"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3</w:t>
            </w:r>
          </w:p>
        </w:tc>
        <w:tc>
          <w:tcPr>
            <w:tcW w:w="6840" w:type="dxa"/>
          </w:tcPr>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xml:space="preserve">Odporność na działanie mrozu </w:t>
            </w:r>
            <w:proofErr w:type="spellStart"/>
            <w:r w:rsidRPr="00A32AE1">
              <w:rPr>
                <w:rFonts w:asciiTheme="minorHAnsi" w:hAnsiTheme="minorHAnsi" w:cstheme="minorHAnsi"/>
                <w:sz w:val="20"/>
                <w:szCs w:val="20"/>
              </w:rPr>
              <w:t>wg</w:t>
            </w:r>
            <w:proofErr w:type="spellEnd"/>
            <w:r w:rsidRPr="00A32AE1">
              <w:rPr>
                <w:rFonts w:asciiTheme="minorHAnsi" w:hAnsiTheme="minorHAnsi" w:cstheme="minorHAnsi"/>
                <w:sz w:val="20"/>
                <w:szCs w:val="20"/>
              </w:rPr>
              <w:t>. PN-78/B-06714 w % (procentach) ubytku</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masy nie więcej niż:</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dla kruszyw ze skal magmowych i przeobrażonych</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dla kruszyw ze skal osadowych</w:t>
            </w:r>
          </w:p>
        </w:tc>
        <w:tc>
          <w:tcPr>
            <w:tcW w:w="209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4,0</w:t>
            </w: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5,0</w:t>
            </w:r>
          </w:p>
        </w:tc>
      </w:tr>
      <w:tr w:rsidR="00B34430" w:rsidRPr="00A32AE1" w:rsidTr="00A32AE1">
        <w:tc>
          <w:tcPr>
            <w:tcW w:w="817"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4</w:t>
            </w:r>
          </w:p>
        </w:tc>
        <w:tc>
          <w:tcPr>
            <w:tcW w:w="6840" w:type="dxa"/>
          </w:tcPr>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xml:space="preserve">Odporność na działanie mrozu według zmodyfikowanej metody bezpośredniej </w:t>
            </w:r>
            <w:proofErr w:type="spellStart"/>
            <w:r w:rsidRPr="00A32AE1">
              <w:rPr>
                <w:rFonts w:asciiTheme="minorHAnsi" w:hAnsiTheme="minorHAnsi" w:cstheme="minorHAnsi"/>
                <w:sz w:val="20"/>
                <w:szCs w:val="20"/>
              </w:rPr>
              <w:t>wg</w:t>
            </w:r>
            <w:proofErr w:type="spellEnd"/>
            <w:r w:rsidRPr="00A32AE1">
              <w:rPr>
                <w:rFonts w:asciiTheme="minorHAnsi" w:hAnsiTheme="minorHAnsi" w:cstheme="minorHAnsi"/>
                <w:sz w:val="20"/>
                <w:szCs w:val="20"/>
              </w:rPr>
              <w:t>. PN-78/B-06714 i BN-84/6774-02 w % (procentach) ubytku masy nie więcej niż:</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w klińcu</w:t>
            </w:r>
          </w:p>
          <w:p w:rsidR="00B34430" w:rsidRPr="00A32AE1" w:rsidRDefault="00B34430" w:rsidP="00A32AE1">
            <w:pPr>
              <w:autoSpaceDE w:val="0"/>
              <w:autoSpaceDN w:val="0"/>
              <w:adjustRightInd w:val="0"/>
              <w:spacing w:line="276" w:lineRule="auto"/>
              <w:ind w:firstLine="0"/>
              <w:rPr>
                <w:rFonts w:asciiTheme="minorHAnsi" w:hAnsiTheme="minorHAnsi" w:cstheme="minorHAnsi"/>
                <w:sz w:val="20"/>
                <w:szCs w:val="20"/>
              </w:rPr>
            </w:pPr>
            <w:r w:rsidRPr="00A32AE1">
              <w:rPr>
                <w:rFonts w:asciiTheme="minorHAnsi" w:hAnsiTheme="minorHAnsi" w:cstheme="minorHAnsi"/>
                <w:sz w:val="20"/>
                <w:szCs w:val="20"/>
              </w:rPr>
              <w:t>- w tłuczniu</w:t>
            </w:r>
          </w:p>
        </w:tc>
        <w:tc>
          <w:tcPr>
            <w:tcW w:w="2090" w:type="dxa"/>
          </w:tcPr>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nie bada się</w:t>
            </w:r>
          </w:p>
          <w:p w:rsidR="00B34430" w:rsidRPr="00A32AE1" w:rsidRDefault="00B34430" w:rsidP="00A32AE1">
            <w:pPr>
              <w:autoSpaceDE w:val="0"/>
              <w:autoSpaceDN w:val="0"/>
              <w:adjustRightInd w:val="0"/>
              <w:spacing w:line="276" w:lineRule="auto"/>
              <w:ind w:firstLine="0"/>
              <w:jc w:val="center"/>
              <w:rPr>
                <w:rFonts w:asciiTheme="minorHAnsi" w:hAnsiTheme="minorHAnsi" w:cstheme="minorHAnsi"/>
                <w:sz w:val="20"/>
                <w:szCs w:val="20"/>
              </w:rPr>
            </w:pPr>
            <w:r w:rsidRPr="00A32AE1">
              <w:rPr>
                <w:rFonts w:asciiTheme="minorHAnsi" w:hAnsiTheme="minorHAnsi" w:cstheme="minorHAnsi"/>
                <w:sz w:val="20"/>
                <w:szCs w:val="20"/>
              </w:rPr>
              <w:t>30</w:t>
            </w:r>
          </w:p>
        </w:tc>
      </w:tr>
    </w:tbl>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i/>
          <w:iCs/>
        </w:rPr>
      </w:pPr>
      <w:r w:rsidRPr="00B34430">
        <w:rPr>
          <w:rFonts w:asciiTheme="minorHAnsi" w:hAnsiTheme="minorHAnsi" w:cstheme="minorHAnsi"/>
          <w:i/>
          <w:iCs/>
        </w:rPr>
        <w:t>Tablica II.</w:t>
      </w:r>
    </w:p>
    <w:p w:rsidR="00B34430" w:rsidRPr="00B34430" w:rsidRDefault="00B34430" w:rsidP="00A32AE1">
      <w:pPr>
        <w:autoSpaceDE w:val="0"/>
        <w:autoSpaceDN w:val="0"/>
        <w:adjustRightInd w:val="0"/>
        <w:spacing w:line="276" w:lineRule="auto"/>
        <w:jc w:val="center"/>
        <w:rPr>
          <w:rFonts w:asciiTheme="minorHAnsi" w:hAnsiTheme="minorHAnsi" w:cstheme="minorHAnsi"/>
          <w:b/>
          <w:bCs/>
        </w:rPr>
      </w:pPr>
      <w:r w:rsidRPr="00B34430">
        <w:rPr>
          <w:rFonts w:asciiTheme="minorHAnsi" w:hAnsiTheme="minorHAnsi" w:cstheme="minorHAnsi"/>
          <w:b/>
          <w:bCs/>
        </w:rPr>
        <w:t>WYMAGANIA DOTYCZĄCE TŁUCZNIA I KLIŃCA WG PN-B-11112 W ZALEŻNOŚCI OD WARSTWY PODBUDOWY TŁUCZNIOWEJ</w:t>
      </w:r>
    </w:p>
    <w:tbl>
      <w:tblPr>
        <w:tblStyle w:val="Tabela-Siatka"/>
        <w:tblW w:w="9534" w:type="dxa"/>
        <w:tblLook w:val="01E0"/>
      </w:tblPr>
      <w:tblGrid>
        <w:gridCol w:w="534"/>
        <w:gridCol w:w="6960"/>
        <w:gridCol w:w="2040"/>
      </w:tblGrid>
      <w:tr w:rsidR="00B34430" w:rsidRPr="00B34430" w:rsidTr="00A32AE1">
        <w:tc>
          <w:tcPr>
            <w:tcW w:w="534"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b/>
                <w:bCs/>
              </w:rPr>
              <w:t>Lp.</w:t>
            </w:r>
          </w:p>
        </w:tc>
        <w:tc>
          <w:tcPr>
            <w:tcW w:w="696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b/>
                <w:bCs/>
              </w:rPr>
              <w:t>WŁAŚCIWOŚCI</w:t>
            </w:r>
          </w:p>
        </w:tc>
        <w:tc>
          <w:tcPr>
            <w:tcW w:w="204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b/>
                <w:bCs/>
              </w:rPr>
              <w:t>WYMAGANIA</w:t>
            </w:r>
          </w:p>
        </w:tc>
      </w:tr>
      <w:tr w:rsidR="00B34430" w:rsidRPr="00B34430" w:rsidTr="00A32AE1">
        <w:tc>
          <w:tcPr>
            <w:tcW w:w="534" w:type="dxa"/>
            <w:vAlign w:val="center"/>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rPr>
              <w:t>1</w:t>
            </w:r>
          </w:p>
        </w:tc>
        <w:tc>
          <w:tcPr>
            <w:tcW w:w="6960" w:type="dxa"/>
          </w:tcPr>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xml:space="preserve">Uziarnienie </w:t>
            </w:r>
            <w:proofErr w:type="spellStart"/>
            <w:r w:rsidRPr="00B34430">
              <w:rPr>
                <w:rFonts w:asciiTheme="minorHAnsi" w:hAnsiTheme="minorHAnsi" w:cstheme="minorHAnsi"/>
              </w:rPr>
              <w:t>wg</w:t>
            </w:r>
            <w:proofErr w:type="spellEnd"/>
            <w:r w:rsidRPr="00B34430">
              <w:rPr>
                <w:rFonts w:asciiTheme="minorHAnsi" w:hAnsiTheme="minorHAnsi" w:cstheme="minorHAnsi"/>
              </w:rPr>
              <w:t>. PN-91/B-06714</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xml:space="preserve">a) zawartość ziaren nie mniejszych niż: </w:t>
            </w:r>
            <w:smartTag w:uri="urn:schemas-microsoft-com:office:smarttags" w:element="metricconverter">
              <w:smartTagPr>
                <w:attr w:name="ProductID" w:val="0,075 mm"/>
              </w:smartTagPr>
              <w:r w:rsidRPr="00B34430">
                <w:rPr>
                  <w:rFonts w:asciiTheme="minorHAnsi" w:hAnsiTheme="minorHAnsi" w:cstheme="minorHAnsi"/>
                </w:rPr>
                <w:t>0,075 mm</w:t>
              </w:r>
            </w:smartTag>
            <w:r w:rsidRPr="00B34430">
              <w:rPr>
                <w:rFonts w:asciiTheme="minorHAnsi" w:hAnsiTheme="minorHAnsi" w:cstheme="minorHAnsi"/>
              </w:rPr>
              <w:t xml:space="preserve"> odsianych na mokro w %</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(procentach) nie więcej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tłuczniu</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klińcu</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b) zawartość frakcji podstawowej w % (procentach) nie mniej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tłuczniu i klińcu</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c) zawartość pod ziarna w % (procentach) nie więcej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lastRenderedPageBreak/>
              <w:t>- w tłuczniu i klińcu</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d) zawartość nad ziarna w % (procentach) nie więcej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tłuczniu i klińcu</w:t>
            </w:r>
          </w:p>
        </w:tc>
        <w:tc>
          <w:tcPr>
            <w:tcW w:w="204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3</w:t>
            </w: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4</w:t>
            </w: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75</w:t>
            </w: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lastRenderedPageBreak/>
              <w:t>15</w:t>
            </w: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15</w:t>
            </w:r>
          </w:p>
        </w:tc>
      </w:tr>
      <w:tr w:rsidR="00B34430" w:rsidRPr="00B34430" w:rsidTr="00A32AE1">
        <w:tc>
          <w:tcPr>
            <w:tcW w:w="534" w:type="dxa"/>
            <w:vAlign w:val="center"/>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rPr>
              <w:lastRenderedPageBreak/>
              <w:t>2</w:t>
            </w:r>
          </w:p>
        </w:tc>
        <w:tc>
          <w:tcPr>
            <w:tcW w:w="6960" w:type="dxa"/>
          </w:tcPr>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xml:space="preserve">Zawartość zanieczyszczeń obcych </w:t>
            </w:r>
            <w:proofErr w:type="spellStart"/>
            <w:r w:rsidRPr="00B34430">
              <w:rPr>
                <w:rFonts w:asciiTheme="minorHAnsi" w:hAnsiTheme="minorHAnsi" w:cstheme="minorHAnsi"/>
              </w:rPr>
              <w:t>wg</w:t>
            </w:r>
            <w:proofErr w:type="spellEnd"/>
            <w:r w:rsidRPr="00B34430">
              <w:rPr>
                <w:rFonts w:asciiTheme="minorHAnsi" w:hAnsiTheme="minorHAnsi" w:cstheme="minorHAnsi"/>
              </w:rPr>
              <w:t>. PN-77/B-06714 w % (procentach) nie więcej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tłuczniu i klińcu</w:t>
            </w:r>
          </w:p>
        </w:tc>
        <w:tc>
          <w:tcPr>
            <w:tcW w:w="204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0,2</w:t>
            </w:r>
          </w:p>
        </w:tc>
      </w:tr>
      <w:tr w:rsidR="00B34430" w:rsidRPr="00B34430" w:rsidTr="00A32AE1">
        <w:tc>
          <w:tcPr>
            <w:tcW w:w="534" w:type="dxa"/>
            <w:vAlign w:val="center"/>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rPr>
              <w:t>3</w:t>
            </w:r>
          </w:p>
        </w:tc>
        <w:tc>
          <w:tcPr>
            <w:tcW w:w="6960" w:type="dxa"/>
          </w:tcPr>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xml:space="preserve">Zawartość ziaren nieforemnych </w:t>
            </w:r>
            <w:proofErr w:type="spellStart"/>
            <w:r w:rsidRPr="00B34430">
              <w:rPr>
                <w:rFonts w:asciiTheme="minorHAnsi" w:hAnsiTheme="minorHAnsi" w:cstheme="minorHAnsi"/>
              </w:rPr>
              <w:t>wg</w:t>
            </w:r>
            <w:proofErr w:type="spellEnd"/>
            <w:r w:rsidRPr="00B34430">
              <w:rPr>
                <w:rFonts w:asciiTheme="minorHAnsi" w:hAnsiTheme="minorHAnsi" w:cstheme="minorHAnsi"/>
              </w:rPr>
              <w:t>. PN-78/B-06714 w % (procentach)</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nie więcej niż:</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tłuczniu</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klińcu</w:t>
            </w:r>
          </w:p>
        </w:tc>
        <w:tc>
          <w:tcPr>
            <w:tcW w:w="204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40</w:t>
            </w:r>
          </w:p>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nie bada się</w:t>
            </w:r>
          </w:p>
        </w:tc>
      </w:tr>
      <w:tr w:rsidR="00B34430" w:rsidRPr="00B34430" w:rsidTr="00A32AE1">
        <w:tc>
          <w:tcPr>
            <w:tcW w:w="534" w:type="dxa"/>
            <w:vAlign w:val="center"/>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b/>
                <w:bCs/>
              </w:rPr>
            </w:pPr>
            <w:r w:rsidRPr="00B34430">
              <w:rPr>
                <w:rFonts w:asciiTheme="minorHAnsi" w:hAnsiTheme="minorHAnsi" w:cstheme="minorHAnsi"/>
              </w:rPr>
              <w:t>4</w:t>
            </w:r>
          </w:p>
        </w:tc>
        <w:tc>
          <w:tcPr>
            <w:tcW w:w="6960" w:type="dxa"/>
          </w:tcPr>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xml:space="preserve">Zawartość zanieczyszczeń organicznych, barwa cieczy </w:t>
            </w:r>
            <w:proofErr w:type="spellStart"/>
            <w:r w:rsidRPr="00B34430">
              <w:rPr>
                <w:rFonts w:asciiTheme="minorHAnsi" w:hAnsiTheme="minorHAnsi" w:cstheme="minorHAnsi"/>
              </w:rPr>
              <w:t>wg</w:t>
            </w:r>
            <w:proofErr w:type="spellEnd"/>
            <w:r w:rsidRPr="00B34430">
              <w:rPr>
                <w:rFonts w:asciiTheme="minorHAnsi" w:hAnsiTheme="minorHAnsi" w:cstheme="minorHAnsi"/>
              </w:rPr>
              <w:t>. PN-78/B-06714</w:t>
            </w:r>
          </w:p>
          <w:p w:rsidR="00B34430" w:rsidRPr="00B34430" w:rsidRDefault="00B34430" w:rsidP="00A32AE1">
            <w:pPr>
              <w:autoSpaceDE w:val="0"/>
              <w:autoSpaceDN w:val="0"/>
              <w:adjustRightInd w:val="0"/>
              <w:spacing w:line="276" w:lineRule="auto"/>
              <w:ind w:firstLine="0"/>
              <w:rPr>
                <w:rFonts w:asciiTheme="minorHAnsi" w:hAnsiTheme="minorHAnsi" w:cstheme="minorHAnsi"/>
              </w:rPr>
            </w:pPr>
            <w:r w:rsidRPr="00B34430">
              <w:rPr>
                <w:rFonts w:asciiTheme="minorHAnsi" w:hAnsiTheme="minorHAnsi" w:cstheme="minorHAnsi"/>
              </w:rPr>
              <w:t>- w klińcu i tłuczniu</w:t>
            </w:r>
          </w:p>
        </w:tc>
        <w:tc>
          <w:tcPr>
            <w:tcW w:w="2040" w:type="dxa"/>
          </w:tcPr>
          <w:p w:rsidR="00B34430" w:rsidRPr="00B34430" w:rsidRDefault="00B34430" w:rsidP="00A32AE1">
            <w:pPr>
              <w:autoSpaceDE w:val="0"/>
              <w:autoSpaceDN w:val="0"/>
              <w:adjustRightInd w:val="0"/>
              <w:spacing w:line="276" w:lineRule="auto"/>
              <w:ind w:firstLine="0"/>
              <w:jc w:val="center"/>
              <w:rPr>
                <w:rFonts w:asciiTheme="minorHAnsi" w:hAnsiTheme="minorHAnsi" w:cstheme="minorHAnsi"/>
              </w:rPr>
            </w:pPr>
            <w:r w:rsidRPr="00B34430">
              <w:rPr>
                <w:rFonts w:asciiTheme="minorHAnsi" w:hAnsiTheme="minorHAnsi" w:cstheme="minorHAnsi"/>
              </w:rPr>
              <w:t>barwa cieczy nie ciemniejsza niż wzorcowa</w:t>
            </w:r>
          </w:p>
        </w:tc>
      </w:tr>
    </w:tbl>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2.4. Źródła materiałów</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Źródła poboru materiałów powinny być wybrane przez Wykonawcę z wyprzedzeniem przed rozpoczęciem robót.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Wykonawca powinien dostarczyć Inżynierowi wyniki badań laboratoryjnych i reprezentatywne próbki materiałów. Materiały zostaną zaakceptowane, jeżeli dostarczone wyniki badań i ewentualne wyniki badań przeprowadzonych przez Inżyniera wykażą zgodność cech materiałowych wymagań określonych w punkcie 2.3. niniejszej specyfikacji.</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2.5. Woda</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Woda użyta przy wykonaniu zagęszczenia i klinowania podbudowy może być studzienna lub z wodociągu, bez specjalnych wymagań.</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3. SPRZĘT: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Jakikolwiek sprzęt, maszyny i narzędzia niegwarantujące uzyskanie wymagań jakościowych i bezpieczeństwa zostaną przez Inżyniera zdyskwalifikowane, po czym muszą zostać usunięte przez Wykonawcę z terenu robót. Do wykonania podbudowy należy stosować następujący sprzęt:</w:t>
      </w:r>
    </w:p>
    <w:p w:rsidR="00B34430" w:rsidRPr="00B34430" w:rsidRDefault="00B34430" w:rsidP="00A32AE1">
      <w:pPr>
        <w:numPr>
          <w:ilvl w:val="0"/>
          <w:numId w:val="4"/>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równiarki samojezdne lub układarki kruszywa,</w:t>
      </w:r>
    </w:p>
    <w:p w:rsidR="00B34430" w:rsidRPr="00B34430" w:rsidRDefault="00B34430" w:rsidP="00A32AE1">
      <w:pPr>
        <w:numPr>
          <w:ilvl w:val="0"/>
          <w:numId w:val="4"/>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walce statyczne gładkie do zagęszczania kruszywa,</w:t>
      </w:r>
    </w:p>
    <w:p w:rsidR="00B34430" w:rsidRPr="00B34430" w:rsidRDefault="00B34430" w:rsidP="00A32AE1">
      <w:pPr>
        <w:numPr>
          <w:ilvl w:val="0"/>
          <w:numId w:val="4"/>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walce wibracyjne lub wibracyjne zagęszczarki płytowe do klinowania kruszywa klińcem,</w:t>
      </w:r>
    </w:p>
    <w:p w:rsidR="00B34430" w:rsidRPr="00B34430" w:rsidRDefault="00B34430" w:rsidP="00A32AE1">
      <w:pPr>
        <w:numPr>
          <w:ilvl w:val="0"/>
          <w:numId w:val="4"/>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szczotki mechaniczne lub ręczne do usunięcia nadmiaru klińca,</w:t>
      </w:r>
    </w:p>
    <w:p w:rsidR="00B34430" w:rsidRPr="00B34430" w:rsidRDefault="00B34430" w:rsidP="00A32AE1">
      <w:pPr>
        <w:numPr>
          <w:ilvl w:val="0"/>
          <w:numId w:val="4"/>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inne narzędzia ręczne.</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Rozścielanie kruszywa w korycie może odbywać się ręcznie lub mechanicznie.</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lastRenderedPageBreak/>
        <w:t>4. TRANSPORT: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Transport kruszywa powinien odbywać się w sposób zabezpieczający kruszywo przed zanieczyszczeniem i rozsegregowaniem oraz zmieszaniem z kruszywem innego rodzaju.</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5. WYKONANIE ROBÓT:</w:t>
      </w: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5.1. Ogólne warunki wykonania robót: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Wykonawca przedstawi Inżynierowi do akceptacji projekt organizacji i harmonogram robót, uwzględniający wszystkie warunki, w jakich będzie wykonywany zakres robót objętych niniejszą szczegółową specyfikacją techniczną (SST). Przed przystąpieniem do prac, teren robót należy odpowiednio oznaczyć i zabezpieczyć przed możliwością wejścia osób postronnych.</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5.2. Wykonanie podbudowy;</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Minimalna grubość warstwy rozkładanego kruszywa nie może być po zagęszczeniu mniejsza od 1,5 krotnego wymiaru największych ziaren kruszywa użytego. Maksymalna grubość warstwy rozkładanego kruszywa po zagęszczeniu nie może przekraczać 20cm. Kruszywo grube po rozłożeniu powinno być przywałowane dwoma przejściami walca statycznego gładkiego o masie jednostkowej nie mniejszej niż 30 KN/</w:t>
      </w:r>
      <w:proofErr w:type="spellStart"/>
      <w:r w:rsidRPr="00B34430">
        <w:rPr>
          <w:rFonts w:asciiTheme="minorHAnsi" w:hAnsiTheme="minorHAnsi" w:cstheme="minorHAnsi"/>
        </w:rPr>
        <w:t>cm².Wałowanie</w:t>
      </w:r>
      <w:proofErr w:type="spellEnd"/>
      <w:r w:rsidRPr="00B34430">
        <w:rPr>
          <w:rFonts w:asciiTheme="minorHAnsi" w:hAnsiTheme="minorHAnsi" w:cstheme="minorHAnsi"/>
        </w:rPr>
        <w:t xml:space="preserve"> (zgęszczanie) na nawierzchni o przekroju daszkowym powinno rozpocząć się od krawędzi i przesuwać się pasami podłużnymi w stronę osi jezdni. Wałowanie (zagęszczanie) na nawierzchni o jednostronnym spadku poprzecznym powinno rozpocząć się od krawędzi wewnętrznej (dolnej) i przesuwać się pasami podłużnymi w stronę górnej krawędzi jezdni (zewnętrznej). Po całkowitym zagęszczeniu tłucznia następuje jego klinowanie. Wielkość klińca (uziarnienie) należy dostosować do uziarnienia tłucznia. </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Klińcem frakcji 5 - 16mm klinuje się mieszankę kruszywa łamanego frakcji 25 - 40mm, a klińcem frakcji 16 - 25mm klinuje się tłuczeń frakcji 31,5 - 63mm. Na warstwie tłucznia rozkłada się warstwę klińca w równej warstwie, celem zaklinowania kruszywa grubego, przy użyciu do zagęszczania walców wibracyjnych o masie jednostkowej co najmniej 18 KN/</w:t>
      </w:r>
      <w:proofErr w:type="spellStart"/>
      <w:r w:rsidRPr="00B34430">
        <w:rPr>
          <w:rFonts w:asciiTheme="minorHAnsi" w:hAnsiTheme="minorHAnsi" w:cstheme="minorHAnsi"/>
        </w:rPr>
        <w:t>cm²</w:t>
      </w:r>
      <w:proofErr w:type="spellEnd"/>
      <w:r w:rsidRPr="00B34430">
        <w:rPr>
          <w:rFonts w:asciiTheme="minorHAnsi" w:hAnsiTheme="minorHAnsi" w:cstheme="minorHAnsi"/>
        </w:rPr>
        <w:t>, albo płyta zagęszczająca wibracyjna o masie jednostkowej co najmniej 0,16 KN/</w:t>
      </w:r>
      <w:proofErr w:type="spellStart"/>
      <w:r w:rsidRPr="00B34430">
        <w:rPr>
          <w:rFonts w:asciiTheme="minorHAnsi" w:hAnsiTheme="minorHAnsi" w:cstheme="minorHAnsi"/>
        </w:rPr>
        <w:t>cm²</w:t>
      </w:r>
      <w:proofErr w:type="spellEnd"/>
      <w:r w:rsidRPr="00B34430">
        <w:rPr>
          <w:rFonts w:asciiTheme="minorHAnsi" w:hAnsiTheme="minorHAnsi" w:cstheme="minorHAnsi"/>
        </w:rPr>
        <w:t>. Jeżeli to konieczne, operację rozkładania i wibrowania kruszywa drobnego należy powtarzać, aż do chwili gdy kruszywo drobne przestanie penetrować warstwę kruszywa grubego. Po zaklinowaniu warstwę górną podbudowy zamulać miałem kamiennym lub drobnym piaskiem. Po zagęszczeniu cały nadmiar kruszywa drobnego należy usunąć szczotkami tak, aby ziarna kruszywa grubego wystawały nad powierzchnie 3–6mm. Następnie tak przygotowana warstwa powinna być przywałowana walcem gładkim i utrzymana w dobrym stanie do chwili zamknięcia jej następną warstwą. Ze względów technologicznych każdy element robót należy wykonywać i odbierać oddzielnie.</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6. KONTROLA JAKOŚCI:</w:t>
      </w: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6.1. Zasady ogólne kontroli jakości:</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Sprawdzenie prawidłowości warstw podbudowy polega na kontroli jej zgodności z:</w:t>
      </w:r>
    </w:p>
    <w:p w:rsidR="00B34430" w:rsidRPr="00B34430" w:rsidRDefault="00B34430" w:rsidP="00A32AE1">
      <w:pPr>
        <w:numPr>
          <w:ilvl w:val="0"/>
          <w:numId w:val="5"/>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lastRenderedPageBreak/>
        <w:t>dokumentacją projektową - w zakresie kompletności wykonania,</w:t>
      </w:r>
    </w:p>
    <w:p w:rsidR="00B34430" w:rsidRPr="00B34430" w:rsidRDefault="00B34430" w:rsidP="00A32AE1">
      <w:pPr>
        <w:numPr>
          <w:ilvl w:val="0"/>
          <w:numId w:val="5"/>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wymaganiami podanymi w punkcie 5 niniejszego SST,</w:t>
      </w:r>
    </w:p>
    <w:p w:rsidR="00B34430" w:rsidRPr="00B34430" w:rsidRDefault="00B34430" w:rsidP="00A32AE1">
      <w:pPr>
        <w:numPr>
          <w:ilvl w:val="0"/>
          <w:numId w:val="5"/>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projektem organizacji robót.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Pomiary i badania kontrolne Wykonawca powinien wykonać w zakresie i z częstotliwością gwarantującą zachowanie wymagań jakości robót, lecz nie rzadziej niż wskazano w odpowiednich punktach niniejszej specyfikacji.</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6.2. Wymagania dotyczące cech geometrycznych:</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Wymagania dotyczące cech geometrycznych wykonywanej podbudowy i pobocza:</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równość podłużna mierzona 4 metrowa łatą w osi pasa ruchu co 20 m:</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nierówność warstwy nie powinna przekraczać: 12mm.</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 xml:space="preserve">równość poprzeczna i spadki poprzeczne - mierzone łatą 4 metrową w 10 punktach na </w:t>
      </w:r>
      <w:smartTag w:uri="urn:schemas-microsoft-com:office:smarttags" w:element="metricconverter">
        <w:smartTagPr>
          <w:attr w:name="ProductID" w:val="1 km"/>
        </w:smartTagPr>
        <w:r w:rsidRPr="00B34430">
          <w:rPr>
            <w:rFonts w:asciiTheme="minorHAnsi" w:hAnsiTheme="minorHAnsi" w:cstheme="minorHAnsi"/>
          </w:rPr>
          <w:t>1 km</w:t>
        </w:r>
      </w:smartTag>
      <w:r w:rsidRPr="00B34430">
        <w:rPr>
          <w:rFonts w:asciiTheme="minorHAnsi" w:hAnsiTheme="minorHAnsi" w:cstheme="minorHAnsi"/>
        </w:rPr>
        <w:t xml:space="preserve"> podbudowy </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 xml:space="preserve">nierówność warstwy nie powinna przekraczać: </w:t>
      </w:r>
      <w:smartTag w:uri="urn:schemas-microsoft-com:office:smarttags" w:element="metricconverter">
        <w:smartTagPr>
          <w:attr w:name="ProductID" w:val="12 mm"/>
        </w:smartTagPr>
        <w:r w:rsidRPr="00B34430">
          <w:rPr>
            <w:rFonts w:asciiTheme="minorHAnsi" w:hAnsiTheme="minorHAnsi" w:cstheme="minorHAnsi"/>
          </w:rPr>
          <w:t>12 mm</w:t>
        </w:r>
      </w:smartTag>
      <w:r w:rsidRPr="00B34430">
        <w:rPr>
          <w:rFonts w:asciiTheme="minorHAnsi" w:hAnsiTheme="minorHAnsi" w:cstheme="minorHAnsi"/>
        </w:rPr>
        <w:t xml:space="preserve">, </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spadki poprzeczne - tolerancja: ± 0,5 %</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 przypadku, gdy wykonywanie podbudowy nie jest przewidziane na całej szerokości pasa ruchu, zakres i częstotliwość pomiarów ustali Inżynier.</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6.3. Wymagania dotyczące zagęszczenia:</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Zagęszczenie podbudowy należy oceniać na podstawie kontroli wizualnej.</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6.4. Wymagania dotyczące materiałów:</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Wymagania szczegółowe dotyczące materiałów podano w punkcie 2 niniejszej specyfikacji.</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7. OBMIAR ROBÓT: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 xml:space="preserve">Jednostką obmiaru jest </w:t>
      </w:r>
      <w:smartTag w:uri="urn:schemas-microsoft-com:office:smarttags" w:element="metricconverter">
        <w:smartTagPr>
          <w:attr w:name="ProductID" w:val="1 mﾲ"/>
        </w:smartTagPr>
        <w:r w:rsidRPr="00B34430">
          <w:rPr>
            <w:rFonts w:asciiTheme="minorHAnsi" w:hAnsiTheme="minorHAnsi" w:cstheme="minorHAnsi"/>
          </w:rPr>
          <w:t xml:space="preserve">1 </w:t>
        </w:r>
        <w:proofErr w:type="spellStart"/>
        <w:r w:rsidRPr="00B34430">
          <w:rPr>
            <w:rFonts w:asciiTheme="minorHAnsi" w:hAnsiTheme="minorHAnsi" w:cstheme="minorHAnsi"/>
          </w:rPr>
          <w:t>m²</w:t>
        </w:r>
      </w:smartTag>
      <w:proofErr w:type="spellEnd"/>
      <w:r w:rsidRPr="00B34430">
        <w:rPr>
          <w:rFonts w:asciiTheme="minorHAnsi" w:hAnsiTheme="minorHAnsi" w:cstheme="minorHAnsi"/>
        </w:rPr>
        <w:t xml:space="preserve"> wykonanej podbudowy:</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Ilość robót określa się na podstawie projektu z uwzględnieniem zmian zaproponowanych przez Inżyniera.</w:t>
      </w:r>
    </w:p>
    <w:p w:rsidR="00B34430" w:rsidRPr="00B34430" w:rsidRDefault="00B34430" w:rsidP="00A32AE1">
      <w:pPr>
        <w:autoSpaceDE w:val="0"/>
        <w:autoSpaceDN w:val="0"/>
        <w:adjustRightInd w:val="0"/>
        <w:spacing w:line="276" w:lineRule="auto"/>
        <w:rPr>
          <w:rFonts w:asciiTheme="minorHAnsi" w:hAnsiTheme="minorHAnsi" w:cstheme="minorHAnsi"/>
          <w:b/>
          <w:bCs/>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8. ODBIÓR ROBÓT:</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W przypadku stwierdzenia uchybień Inżynier ustali zakres robót poprawkowych do wykonania, a Wykonawca wykona je na koszt własny w wyznaczonym terminie. Odbiór poszczególnych warstw podbudowy należy wykonywać na zasadach odbioru robót zanikających i ulęgających zakryciu. Do odbioru Wykonawca przedstawia wszystkie wyniki pomiarów i badań z bieżącej kontroli robót i materiałów.</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9. PODSTAW PŁATNOŚCI:</w:t>
      </w:r>
    </w:p>
    <w:p w:rsidR="00B34430" w:rsidRPr="00B34430" w:rsidRDefault="00B34430" w:rsidP="00A32AE1">
      <w:pPr>
        <w:autoSpaceDE w:val="0"/>
        <w:autoSpaceDN w:val="0"/>
        <w:adjustRightInd w:val="0"/>
        <w:spacing w:line="276" w:lineRule="auto"/>
        <w:rPr>
          <w:rFonts w:asciiTheme="minorHAnsi" w:hAnsiTheme="minorHAnsi" w:cstheme="minorHAnsi"/>
        </w:rPr>
      </w:pPr>
      <w:r w:rsidRPr="00B34430">
        <w:rPr>
          <w:rFonts w:asciiTheme="minorHAnsi" w:hAnsiTheme="minorHAnsi" w:cstheme="minorHAnsi"/>
        </w:rPr>
        <w:t>Cena wykonania robót obejmuje:</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prace pomiarowe,</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dostarczenie materiałów na budowę,</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lastRenderedPageBreak/>
        <w:t>rozłożenie poszczególnych warstw,</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zagęszczenie poszczególnych warstw,</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oznakowanie robót,</w:t>
      </w:r>
    </w:p>
    <w:p w:rsidR="00B34430" w:rsidRPr="00B34430" w:rsidRDefault="00B34430" w:rsidP="00A32AE1">
      <w:pPr>
        <w:numPr>
          <w:ilvl w:val="0"/>
          <w:numId w:val="6"/>
        </w:numPr>
        <w:autoSpaceDE w:val="0"/>
        <w:autoSpaceDN w:val="0"/>
        <w:adjustRightInd w:val="0"/>
        <w:spacing w:line="276" w:lineRule="auto"/>
        <w:jc w:val="left"/>
        <w:rPr>
          <w:rFonts w:asciiTheme="minorHAnsi" w:hAnsiTheme="minorHAnsi" w:cstheme="minorHAnsi"/>
        </w:rPr>
      </w:pPr>
      <w:r w:rsidRPr="00B34430">
        <w:rPr>
          <w:rFonts w:asciiTheme="minorHAnsi" w:hAnsiTheme="minorHAnsi" w:cstheme="minorHAnsi"/>
        </w:rPr>
        <w:t>badania i pomiary kontrolne.</w:t>
      </w:r>
    </w:p>
    <w:p w:rsidR="00B34430" w:rsidRPr="00B34430" w:rsidRDefault="00B34430" w:rsidP="00A32AE1">
      <w:pPr>
        <w:autoSpaceDE w:val="0"/>
        <w:autoSpaceDN w:val="0"/>
        <w:adjustRightInd w:val="0"/>
        <w:spacing w:line="276" w:lineRule="auto"/>
        <w:rPr>
          <w:rFonts w:asciiTheme="minorHAnsi" w:hAnsiTheme="minorHAnsi" w:cstheme="minorHAnsi"/>
        </w:rPr>
      </w:pPr>
    </w:p>
    <w:p w:rsidR="00B34430" w:rsidRPr="00B34430" w:rsidRDefault="00B34430" w:rsidP="00A32AE1">
      <w:pPr>
        <w:autoSpaceDE w:val="0"/>
        <w:autoSpaceDN w:val="0"/>
        <w:adjustRightInd w:val="0"/>
        <w:spacing w:line="276" w:lineRule="auto"/>
        <w:rPr>
          <w:rFonts w:asciiTheme="minorHAnsi" w:hAnsiTheme="minorHAnsi" w:cstheme="minorHAnsi"/>
          <w:b/>
          <w:bCs/>
        </w:rPr>
      </w:pPr>
      <w:r w:rsidRPr="00B34430">
        <w:rPr>
          <w:rFonts w:asciiTheme="minorHAnsi" w:hAnsiTheme="minorHAnsi" w:cstheme="minorHAnsi"/>
          <w:b/>
          <w:bCs/>
        </w:rPr>
        <w:t>10. PRZEPISY ZWIĄZANE:</w:t>
      </w:r>
    </w:p>
    <w:p w:rsidR="00B34430" w:rsidRPr="00B34430" w:rsidRDefault="00B34430" w:rsidP="00A32AE1">
      <w:pPr>
        <w:autoSpaceDE w:val="0"/>
        <w:autoSpaceDN w:val="0"/>
        <w:adjustRightInd w:val="0"/>
        <w:spacing w:line="276" w:lineRule="auto"/>
        <w:ind w:left="360" w:hanging="360"/>
        <w:rPr>
          <w:rFonts w:asciiTheme="minorHAnsi" w:hAnsiTheme="minorHAnsi" w:cstheme="minorHAnsi"/>
        </w:rPr>
      </w:pPr>
      <w:r w:rsidRPr="00B34430">
        <w:rPr>
          <w:rFonts w:asciiTheme="minorHAnsi" w:hAnsiTheme="minorHAnsi" w:cstheme="minorHAnsi"/>
        </w:rPr>
        <w:t>1. PN-78/B-06721 „Kruszywa mineralne. Pobieranie próbek”.</w:t>
      </w:r>
    </w:p>
    <w:p w:rsidR="00B34430" w:rsidRPr="00B34430" w:rsidRDefault="00B34430" w:rsidP="00A32AE1">
      <w:pPr>
        <w:autoSpaceDE w:val="0"/>
        <w:autoSpaceDN w:val="0"/>
        <w:adjustRightInd w:val="0"/>
        <w:spacing w:line="276" w:lineRule="auto"/>
        <w:ind w:left="360" w:hanging="360"/>
        <w:rPr>
          <w:rFonts w:asciiTheme="minorHAnsi" w:hAnsiTheme="minorHAnsi" w:cstheme="minorHAnsi"/>
        </w:rPr>
      </w:pPr>
      <w:r w:rsidRPr="00B34430">
        <w:rPr>
          <w:rFonts w:asciiTheme="minorHAnsi" w:hAnsiTheme="minorHAnsi" w:cstheme="minorHAnsi"/>
        </w:rPr>
        <w:t>2. PN-84/B-96023 „Konstrukcje drogowe. Podbudowa i nawierzchnia z tłucznia kamiennego”.</w:t>
      </w:r>
    </w:p>
    <w:p w:rsidR="00B34430" w:rsidRPr="00B34430" w:rsidRDefault="00B34430" w:rsidP="00A32AE1">
      <w:pPr>
        <w:autoSpaceDE w:val="0"/>
        <w:autoSpaceDN w:val="0"/>
        <w:adjustRightInd w:val="0"/>
        <w:spacing w:line="276" w:lineRule="auto"/>
        <w:ind w:left="360" w:hanging="360"/>
        <w:rPr>
          <w:rFonts w:asciiTheme="minorHAnsi" w:hAnsiTheme="minorHAnsi" w:cstheme="minorHAnsi"/>
        </w:rPr>
      </w:pPr>
      <w:r w:rsidRPr="00B34430">
        <w:rPr>
          <w:rFonts w:asciiTheme="minorHAnsi" w:hAnsiTheme="minorHAnsi" w:cstheme="minorHAnsi"/>
        </w:rPr>
        <w:t>3. BN-84/6774-02 „Kruszywa mineralne. Kruszywo łamane do nawierzchni drogowych”.</w:t>
      </w:r>
    </w:p>
    <w:p w:rsidR="00B34430" w:rsidRPr="00B34430" w:rsidRDefault="00B34430" w:rsidP="00A32AE1">
      <w:pPr>
        <w:autoSpaceDE w:val="0"/>
        <w:autoSpaceDN w:val="0"/>
        <w:adjustRightInd w:val="0"/>
        <w:spacing w:line="276" w:lineRule="auto"/>
        <w:ind w:left="360" w:hanging="360"/>
        <w:rPr>
          <w:rFonts w:asciiTheme="minorHAnsi" w:hAnsiTheme="minorHAnsi" w:cstheme="minorHAnsi"/>
        </w:rPr>
      </w:pPr>
      <w:r w:rsidRPr="00B34430">
        <w:rPr>
          <w:rFonts w:asciiTheme="minorHAnsi" w:hAnsiTheme="minorHAnsi" w:cstheme="minorHAnsi"/>
        </w:rPr>
        <w:t xml:space="preserve">4. BN-08/8931-04 „Drogi samochodowe. Pomiar równości nawierzchni </w:t>
      </w:r>
      <w:proofErr w:type="spellStart"/>
      <w:r w:rsidRPr="00B34430">
        <w:rPr>
          <w:rFonts w:asciiTheme="minorHAnsi" w:hAnsiTheme="minorHAnsi" w:cstheme="minorHAnsi"/>
        </w:rPr>
        <w:t>planografem</w:t>
      </w:r>
      <w:proofErr w:type="spellEnd"/>
      <w:r w:rsidRPr="00B34430">
        <w:rPr>
          <w:rFonts w:asciiTheme="minorHAnsi" w:hAnsiTheme="minorHAnsi" w:cstheme="minorHAnsi"/>
        </w:rPr>
        <w:t xml:space="preserve"> i łata”.</w:t>
      </w:r>
    </w:p>
    <w:p w:rsidR="00DD307A" w:rsidRDefault="00DD307A" w:rsidP="00B34430">
      <w:pPr>
        <w:pStyle w:val="Nagwek1"/>
        <w:numPr>
          <w:ilvl w:val="0"/>
          <w:numId w:val="0"/>
        </w:numPr>
        <w:ind w:left="432"/>
      </w:pPr>
    </w:p>
    <w:sectPr w:rsidR="00DD307A" w:rsidSect="00644AF6">
      <w:footerReference w:type="default" r:id="rId7"/>
      <w:pgSz w:w="11906" w:h="16838"/>
      <w:pgMar w:top="1417" w:right="1417" w:bottom="1417" w:left="1417" w:header="708" w:footer="708" w:gutter="0"/>
      <w:pgNumType w:start="10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238" w:rsidRDefault="002D4238" w:rsidP="003805B5">
      <w:pPr>
        <w:spacing w:line="240" w:lineRule="auto"/>
      </w:pPr>
      <w:r>
        <w:separator/>
      </w:r>
    </w:p>
  </w:endnote>
  <w:endnote w:type="continuationSeparator" w:id="0">
    <w:p w:rsidR="002D4238" w:rsidRDefault="002D4238" w:rsidP="003805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41260726"/>
      <w:docPartObj>
        <w:docPartGallery w:val="Page Numbers (Bottom of Page)"/>
        <w:docPartUnique/>
      </w:docPartObj>
    </w:sdtPr>
    <w:sdtEndPr>
      <w:rPr>
        <w:rFonts w:ascii="Times New Roman" w:hAnsi="Times New Roman"/>
        <w:sz w:val="24"/>
        <w:szCs w:val="24"/>
      </w:rPr>
    </w:sdtEndPr>
    <w:sdtContent>
      <w:p w:rsidR="003805B5" w:rsidRDefault="003805B5">
        <w:pPr>
          <w:pStyle w:val="Stopka"/>
          <w:jc w:val="right"/>
          <w:rPr>
            <w:rFonts w:asciiTheme="majorHAnsi" w:hAnsiTheme="majorHAnsi"/>
            <w:sz w:val="28"/>
            <w:szCs w:val="28"/>
          </w:rPr>
        </w:pPr>
        <w:r w:rsidRPr="003805B5">
          <w:rPr>
            <w:rFonts w:asciiTheme="minorHAnsi" w:hAnsiTheme="minorHAnsi" w:cstheme="minorHAnsi"/>
          </w:rPr>
          <w:t xml:space="preserve">str. </w:t>
        </w:r>
        <w:r w:rsidR="00856A20" w:rsidRPr="003805B5">
          <w:rPr>
            <w:rFonts w:asciiTheme="minorHAnsi" w:hAnsiTheme="minorHAnsi" w:cstheme="minorHAnsi"/>
          </w:rPr>
          <w:fldChar w:fldCharType="begin"/>
        </w:r>
        <w:r w:rsidRPr="003805B5">
          <w:rPr>
            <w:rFonts w:asciiTheme="minorHAnsi" w:hAnsiTheme="minorHAnsi" w:cstheme="minorHAnsi"/>
          </w:rPr>
          <w:instrText xml:space="preserve"> PAGE    \* MERGEFORMAT </w:instrText>
        </w:r>
        <w:r w:rsidR="00856A20" w:rsidRPr="003805B5">
          <w:rPr>
            <w:rFonts w:asciiTheme="minorHAnsi" w:hAnsiTheme="minorHAnsi" w:cstheme="minorHAnsi"/>
          </w:rPr>
          <w:fldChar w:fldCharType="separate"/>
        </w:r>
        <w:r w:rsidR="00644AF6">
          <w:rPr>
            <w:rFonts w:asciiTheme="minorHAnsi" w:hAnsiTheme="minorHAnsi" w:cstheme="minorHAnsi"/>
            <w:noProof/>
          </w:rPr>
          <w:t>114</w:t>
        </w:r>
        <w:r w:rsidR="00856A20" w:rsidRPr="003805B5">
          <w:rPr>
            <w:rFonts w:asciiTheme="minorHAnsi" w:hAnsiTheme="minorHAnsi" w:cstheme="minorHAnsi"/>
          </w:rPr>
          <w:fldChar w:fldCharType="end"/>
        </w:r>
      </w:p>
    </w:sdtContent>
  </w:sdt>
  <w:p w:rsidR="003805B5" w:rsidRDefault="003805B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238" w:rsidRDefault="002D4238" w:rsidP="003805B5">
      <w:pPr>
        <w:spacing w:line="240" w:lineRule="auto"/>
      </w:pPr>
      <w:r>
        <w:separator/>
      </w:r>
    </w:p>
  </w:footnote>
  <w:footnote w:type="continuationSeparator" w:id="0">
    <w:p w:rsidR="002D4238" w:rsidRDefault="002D4238" w:rsidP="003805B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BA1"/>
    <w:multiLevelType w:val="hybridMultilevel"/>
    <w:tmpl w:val="A3321D08"/>
    <w:lvl w:ilvl="0" w:tplc="DEB8CA54">
      <w:start w:val="2"/>
      <w:numFmt w:val="bullet"/>
      <w:lvlText w:val="-"/>
      <w:lvlJc w:val="left"/>
      <w:pPr>
        <w:tabs>
          <w:tab w:val="num" w:pos="729"/>
        </w:tabs>
        <w:ind w:left="729" w:hanging="390"/>
      </w:pPr>
      <w:rPr>
        <w:rFonts w:ascii="Times New Roman" w:eastAsia="Times New Roman" w:hAnsi="Times New Roman" w:cs="Times New Roman" w:hint="default"/>
      </w:rPr>
    </w:lvl>
    <w:lvl w:ilvl="1" w:tplc="04150003" w:tentative="1">
      <w:start w:val="1"/>
      <w:numFmt w:val="bullet"/>
      <w:lvlText w:val="o"/>
      <w:lvlJc w:val="left"/>
      <w:pPr>
        <w:tabs>
          <w:tab w:val="num" w:pos="1419"/>
        </w:tabs>
        <w:ind w:left="1419" w:hanging="360"/>
      </w:pPr>
      <w:rPr>
        <w:rFonts w:ascii="Courier New" w:hAnsi="Courier New" w:hint="default"/>
      </w:rPr>
    </w:lvl>
    <w:lvl w:ilvl="2" w:tplc="04150005" w:tentative="1">
      <w:start w:val="1"/>
      <w:numFmt w:val="bullet"/>
      <w:lvlText w:val=""/>
      <w:lvlJc w:val="left"/>
      <w:pPr>
        <w:tabs>
          <w:tab w:val="num" w:pos="2139"/>
        </w:tabs>
        <w:ind w:left="2139" w:hanging="360"/>
      </w:pPr>
      <w:rPr>
        <w:rFonts w:ascii="Wingdings" w:hAnsi="Wingdings" w:hint="default"/>
      </w:rPr>
    </w:lvl>
    <w:lvl w:ilvl="3" w:tplc="04150001" w:tentative="1">
      <w:start w:val="1"/>
      <w:numFmt w:val="bullet"/>
      <w:lvlText w:val=""/>
      <w:lvlJc w:val="left"/>
      <w:pPr>
        <w:tabs>
          <w:tab w:val="num" w:pos="2859"/>
        </w:tabs>
        <w:ind w:left="2859" w:hanging="360"/>
      </w:pPr>
      <w:rPr>
        <w:rFonts w:ascii="Symbol" w:hAnsi="Symbol" w:hint="default"/>
      </w:rPr>
    </w:lvl>
    <w:lvl w:ilvl="4" w:tplc="04150003" w:tentative="1">
      <w:start w:val="1"/>
      <w:numFmt w:val="bullet"/>
      <w:lvlText w:val="o"/>
      <w:lvlJc w:val="left"/>
      <w:pPr>
        <w:tabs>
          <w:tab w:val="num" w:pos="3579"/>
        </w:tabs>
        <w:ind w:left="3579" w:hanging="360"/>
      </w:pPr>
      <w:rPr>
        <w:rFonts w:ascii="Courier New" w:hAnsi="Courier New" w:hint="default"/>
      </w:rPr>
    </w:lvl>
    <w:lvl w:ilvl="5" w:tplc="04150005" w:tentative="1">
      <w:start w:val="1"/>
      <w:numFmt w:val="bullet"/>
      <w:lvlText w:val=""/>
      <w:lvlJc w:val="left"/>
      <w:pPr>
        <w:tabs>
          <w:tab w:val="num" w:pos="4299"/>
        </w:tabs>
        <w:ind w:left="4299" w:hanging="360"/>
      </w:pPr>
      <w:rPr>
        <w:rFonts w:ascii="Wingdings" w:hAnsi="Wingdings" w:hint="default"/>
      </w:rPr>
    </w:lvl>
    <w:lvl w:ilvl="6" w:tplc="04150001" w:tentative="1">
      <w:start w:val="1"/>
      <w:numFmt w:val="bullet"/>
      <w:lvlText w:val=""/>
      <w:lvlJc w:val="left"/>
      <w:pPr>
        <w:tabs>
          <w:tab w:val="num" w:pos="5019"/>
        </w:tabs>
        <w:ind w:left="5019" w:hanging="360"/>
      </w:pPr>
      <w:rPr>
        <w:rFonts w:ascii="Symbol" w:hAnsi="Symbol" w:hint="default"/>
      </w:rPr>
    </w:lvl>
    <w:lvl w:ilvl="7" w:tplc="04150003" w:tentative="1">
      <w:start w:val="1"/>
      <w:numFmt w:val="bullet"/>
      <w:lvlText w:val="o"/>
      <w:lvlJc w:val="left"/>
      <w:pPr>
        <w:tabs>
          <w:tab w:val="num" w:pos="5739"/>
        </w:tabs>
        <w:ind w:left="5739" w:hanging="360"/>
      </w:pPr>
      <w:rPr>
        <w:rFonts w:ascii="Courier New" w:hAnsi="Courier New" w:hint="default"/>
      </w:rPr>
    </w:lvl>
    <w:lvl w:ilvl="8" w:tplc="04150005" w:tentative="1">
      <w:start w:val="1"/>
      <w:numFmt w:val="bullet"/>
      <w:lvlText w:val=""/>
      <w:lvlJc w:val="left"/>
      <w:pPr>
        <w:tabs>
          <w:tab w:val="num" w:pos="6459"/>
        </w:tabs>
        <w:ind w:left="6459" w:hanging="360"/>
      </w:pPr>
      <w:rPr>
        <w:rFonts w:ascii="Wingdings" w:hAnsi="Wingdings" w:hint="default"/>
      </w:rPr>
    </w:lvl>
  </w:abstractNum>
  <w:abstractNum w:abstractNumId="1">
    <w:nsid w:val="3B392EFA"/>
    <w:multiLevelType w:val="hybridMultilevel"/>
    <w:tmpl w:val="EEBAFC7A"/>
    <w:lvl w:ilvl="0" w:tplc="EE6683CE">
      <w:start w:val="1"/>
      <w:numFmt w:val="bullet"/>
      <w:lvlText w:val=""/>
      <w:lvlJc w:val="left"/>
      <w:pPr>
        <w:tabs>
          <w:tab w:val="num" w:pos="1788"/>
        </w:tabs>
        <w:ind w:left="1788"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4AFC77BD"/>
    <w:multiLevelType w:val="multilevel"/>
    <w:tmpl w:val="99DAD736"/>
    <w:lvl w:ilvl="0">
      <w:start w:val="1"/>
      <w:numFmt w:val="decimal"/>
      <w:pStyle w:val="Nagwek1"/>
      <w:lvlText w:val="%1"/>
      <w:lvlJc w:val="left"/>
      <w:pPr>
        <w:tabs>
          <w:tab w:val="num" w:pos="432"/>
        </w:tabs>
        <w:ind w:left="432" w:hanging="432"/>
      </w:pPr>
      <w:rPr>
        <w:rFonts w:asciiTheme="minorHAnsi" w:hAnsiTheme="minorHAnsi" w:cstheme="minorHAnsi" w:hint="default"/>
        <w:b/>
      </w:r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
    <w:nsid w:val="64FB4B73"/>
    <w:multiLevelType w:val="hybridMultilevel"/>
    <w:tmpl w:val="6ECE2D14"/>
    <w:lvl w:ilvl="0" w:tplc="EE6683CE">
      <w:start w:val="1"/>
      <w:numFmt w:val="bullet"/>
      <w:lvlText w:val=""/>
      <w:lvlJc w:val="left"/>
      <w:pPr>
        <w:tabs>
          <w:tab w:val="num" w:pos="1788"/>
        </w:tabs>
        <w:ind w:left="1788"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73DE6EBA"/>
    <w:multiLevelType w:val="hybridMultilevel"/>
    <w:tmpl w:val="649050CA"/>
    <w:lvl w:ilvl="0" w:tplc="EE6683CE">
      <w:start w:val="1"/>
      <w:numFmt w:val="bullet"/>
      <w:lvlText w:val=""/>
      <w:lvlJc w:val="left"/>
      <w:pPr>
        <w:tabs>
          <w:tab w:val="num" w:pos="1788"/>
        </w:tabs>
        <w:ind w:left="1788"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7A0017B4"/>
    <w:multiLevelType w:val="hybridMultilevel"/>
    <w:tmpl w:val="2F706AA2"/>
    <w:lvl w:ilvl="0" w:tplc="EE6683CE">
      <w:start w:val="1"/>
      <w:numFmt w:val="bullet"/>
      <w:lvlText w:val=""/>
      <w:lvlJc w:val="left"/>
      <w:pPr>
        <w:tabs>
          <w:tab w:val="num" w:pos="1788"/>
        </w:tabs>
        <w:ind w:left="1788"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723D25"/>
    <w:rsid w:val="0012480D"/>
    <w:rsid w:val="002D4238"/>
    <w:rsid w:val="003805B5"/>
    <w:rsid w:val="00601BC2"/>
    <w:rsid w:val="00644AF6"/>
    <w:rsid w:val="00723D25"/>
    <w:rsid w:val="00856A20"/>
    <w:rsid w:val="008E474B"/>
    <w:rsid w:val="00A32AE1"/>
    <w:rsid w:val="00B34430"/>
    <w:rsid w:val="00BA4C8D"/>
    <w:rsid w:val="00C10310"/>
    <w:rsid w:val="00DD307A"/>
    <w:rsid w:val="00E219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xkx"/>
    <w:qFormat/>
    <w:rsid w:val="00723D25"/>
    <w:pPr>
      <w:spacing w:after="0" w:line="360" w:lineRule="auto"/>
      <w:ind w:firstLine="709"/>
      <w:jc w:val="both"/>
    </w:pPr>
    <w:rPr>
      <w:rFonts w:ascii="Times New Roman" w:eastAsia="Times New Roman" w:hAnsi="Times New Roman" w:cs="Times New Roman"/>
      <w:sz w:val="24"/>
      <w:szCs w:val="24"/>
      <w:lang w:eastAsia="pl-PL"/>
    </w:rPr>
  </w:style>
  <w:style w:type="paragraph" w:styleId="Nagwek1">
    <w:name w:val="heading 1"/>
    <w:aliases w:val="N 1,Title 1"/>
    <w:basedOn w:val="Normalny"/>
    <w:next w:val="Normalny"/>
    <w:link w:val="Nagwek1Znak"/>
    <w:qFormat/>
    <w:rsid w:val="00723D25"/>
    <w:pPr>
      <w:keepNext/>
      <w:numPr>
        <w:numId w:val="1"/>
      </w:numPr>
      <w:spacing w:line="240" w:lineRule="auto"/>
      <w:outlineLvl w:val="0"/>
    </w:pPr>
    <w:rPr>
      <w:b/>
      <w:sz w:val="26"/>
      <w:szCs w:val="20"/>
    </w:rPr>
  </w:style>
  <w:style w:type="paragraph" w:styleId="Nagwek2">
    <w:name w:val="heading 2"/>
    <w:basedOn w:val="Normalny"/>
    <w:next w:val="Normalny"/>
    <w:link w:val="Nagwek2Znak"/>
    <w:qFormat/>
    <w:rsid w:val="00723D25"/>
    <w:pPr>
      <w:keepNext/>
      <w:numPr>
        <w:ilvl w:val="1"/>
        <w:numId w:val="1"/>
      </w:numPr>
      <w:jc w:val="left"/>
      <w:outlineLvl w:val="1"/>
    </w:pPr>
    <w:rPr>
      <w:sz w:val="26"/>
      <w:szCs w:val="20"/>
    </w:rPr>
  </w:style>
  <w:style w:type="paragraph" w:styleId="Nagwek3">
    <w:name w:val="heading 3"/>
    <w:basedOn w:val="Normalny"/>
    <w:next w:val="Normalny"/>
    <w:link w:val="Nagwek3Znak"/>
    <w:qFormat/>
    <w:rsid w:val="00723D25"/>
    <w:pPr>
      <w:keepNext/>
      <w:numPr>
        <w:ilvl w:val="2"/>
        <w:numId w:val="1"/>
      </w:numPr>
      <w:tabs>
        <w:tab w:val="left" w:pos="1701"/>
        <w:tab w:val="left" w:pos="1985"/>
      </w:tabs>
      <w:spacing w:before="120" w:after="120" w:line="240" w:lineRule="auto"/>
      <w:ind w:right="-720"/>
      <w:outlineLvl w:val="2"/>
    </w:pPr>
    <w:rPr>
      <w:i/>
      <w:snapToGrid w:val="0"/>
      <w:sz w:val="26"/>
      <w:szCs w:val="20"/>
    </w:rPr>
  </w:style>
  <w:style w:type="paragraph" w:styleId="Nagwek4">
    <w:name w:val="heading 4"/>
    <w:basedOn w:val="Normalny"/>
    <w:next w:val="Normalny"/>
    <w:link w:val="Nagwek4Znak"/>
    <w:qFormat/>
    <w:rsid w:val="00723D25"/>
    <w:pPr>
      <w:keepNext/>
      <w:numPr>
        <w:ilvl w:val="3"/>
        <w:numId w:val="1"/>
      </w:numPr>
      <w:spacing w:line="240" w:lineRule="auto"/>
      <w:ind w:right="-720"/>
      <w:outlineLvl w:val="3"/>
    </w:pPr>
    <w:rPr>
      <w:b/>
      <w:sz w:val="26"/>
      <w:szCs w:val="20"/>
    </w:rPr>
  </w:style>
  <w:style w:type="paragraph" w:styleId="Nagwek7">
    <w:name w:val="heading 7"/>
    <w:basedOn w:val="Normalny"/>
    <w:next w:val="Normalny"/>
    <w:link w:val="Nagwek7Znak"/>
    <w:qFormat/>
    <w:rsid w:val="00723D25"/>
    <w:pPr>
      <w:keepNext/>
      <w:numPr>
        <w:ilvl w:val="6"/>
        <w:numId w:val="1"/>
      </w:numPr>
      <w:suppressAutoHyphens/>
      <w:spacing w:line="240" w:lineRule="auto"/>
      <w:ind w:right="-720"/>
      <w:jc w:val="left"/>
      <w:outlineLvl w:val="6"/>
    </w:pPr>
    <w:rPr>
      <w:b/>
      <w:sz w:val="21"/>
      <w:szCs w:val="20"/>
    </w:rPr>
  </w:style>
  <w:style w:type="paragraph" w:styleId="Nagwek8">
    <w:name w:val="heading 8"/>
    <w:basedOn w:val="Normalny"/>
    <w:next w:val="Normalny"/>
    <w:link w:val="Nagwek8Znak"/>
    <w:qFormat/>
    <w:rsid w:val="00723D25"/>
    <w:pPr>
      <w:keepNext/>
      <w:numPr>
        <w:ilvl w:val="7"/>
        <w:numId w:val="1"/>
      </w:numPr>
      <w:suppressAutoHyphens/>
      <w:spacing w:line="240" w:lineRule="auto"/>
      <w:ind w:right="44"/>
      <w:outlineLvl w:val="7"/>
    </w:pPr>
    <w:rPr>
      <w:b/>
      <w:sz w:val="21"/>
      <w:szCs w:val="20"/>
      <w:u w:val="single"/>
    </w:rPr>
  </w:style>
  <w:style w:type="paragraph" w:styleId="Nagwek9">
    <w:name w:val="heading 9"/>
    <w:basedOn w:val="Normalny"/>
    <w:next w:val="Normalny"/>
    <w:link w:val="Nagwek9Znak"/>
    <w:qFormat/>
    <w:rsid w:val="00723D25"/>
    <w:pPr>
      <w:keepNext/>
      <w:numPr>
        <w:ilvl w:val="8"/>
        <w:numId w:val="1"/>
      </w:numPr>
      <w:spacing w:line="240" w:lineRule="auto"/>
      <w:jc w:val="center"/>
      <w:outlineLvl w:val="8"/>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 1 Znak,Title 1 Znak"/>
    <w:basedOn w:val="Domylnaczcionkaakapitu"/>
    <w:link w:val="Nagwek1"/>
    <w:rsid w:val="00723D25"/>
    <w:rPr>
      <w:rFonts w:ascii="Times New Roman" w:eastAsia="Times New Roman" w:hAnsi="Times New Roman" w:cs="Times New Roman"/>
      <w:b/>
      <w:sz w:val="26"/>
      <w:szCs w:val="20"/>
      <w:lang w:eastAsia="pl-PL"/>
    </w:rPr>
  </w:style>
  <w:style w:type="character" w:customStyle="1" w:styleId="Nagwek2Znak">
    <w:name w:val="Nagłówek 2 Znak"/>
    <w:basedOn w:val="Domylnaczcionkaakapitu"/>
    <w:link w:val="Nagwek2"/>
    <w:rsid w:val="00723D25"/>
    <w:rPr>
      <w:rFonts w:ascii="Times New Roman" w:eastAsia="Times New Roman" w:hAnsi="Times New Roman" w:cs="Times New Roman"/>
      <w:sz w:val="26"/>
      <w:szCs w:val="20"/>
      <w:lang w:eastAsia="pl-PL"/>
    </w:rPr>
  </w:style>
  <w:style w:type="character" w:customStyle="1" w:styleId="Nagwek3Znak">
    <w:name w:val="Nagłówek 3 Znak"/>
    <w:basedOn w:val="Domylnaczcionkaakapitu"/>
    <w:link w:val="Nagwek3"/>
    <w:rsid w:val="00723D25"/>
    <w:rPr>
      <w:rFonts w:ascii="Times New Roman" w:eastAsia="Times New Roman" w:hAnsi="Times New Roman" w:cs="Times New Roman"/>
      <w:i/>
      <w:snapToGrid w:val="0"/>
      <w:sz w:val="26"/>
      <w:szCs w:val="20"/>
      <w:lang w:eastAsia="pl-PL"/>
    </w:rPr>
  </w:style>
  <w:style w:type="character" w:customStyle="1" w:styleId="Nagwek4Znak">
    <w:name w:val="Nagłówek 4 Znak"/>
    <w:basedOn w:val="Domylnaczcionkaakapitu"/>
    <w:link w:val="Nagwek4"/>
    <w:rsid w:val="00723D25"/>
    <w:rPr>
      <w:rFonts w:ascii="Times New Roman" w:eastAsia="Times New Roman" w:hAnsi="Times New Roman" w:cs="Times New Roman"/>
      <w:b/>
      <w:sz w:val="26"/>
      <w:szCs w:val="20"/>
      <w:lang w:eastAsia="pl-PL"/>
    </w:rPr>
  </w:style>
  <w:style w:type="character" w:customStyle="1" w:styleId="Nagwek7Znak">
    <w:name w:val="Nagłówek 7 Znak"/>
    <w:basedOn w:val="Domylnaczcionkaakapitu"/>
    <w:link w:val="Nagwek7"/>
    <w:rsid w:val="00723D25"/>
    <w:rPr>
      <w:rFonts w:ascii="Times New Roman" w:eastAsia="Times New Roman" w:hAnsi="Times New Roman" w:cs="Times New Roman"/>
      <w:b/>
      <w:sz w:val="21"/>
      <w:szCs w:val="20"/>
      <w:lang w:eastAsia="pl-PL"/>
    </w:rPr>
  </w:style>
  <w:style w:type="character" w:customStyle="1" w:styleId="Nagwek8Znak">
    <w:name w:val="Nagłówek 8 Znak"/>
    <w:basedOn w:val="Domylnaczcionkaakapitu"/>
    <w:link w:val="Nagwek8"/>
    <w:rsid w:val="00723D25"/>
    <w:rPr>
      <w:rFonts w:ascii="Times New Roman" w:eastAsia="Times New Roman" w:hAnsi="Times New Roman" w:cs="Times New Roman"/>
      <w:b/>
      <w:sz w:val="21"/>
      <w:szCs w:val="20"/>
      <w:u w:val="single"/>
      <w:lang w:eastAsia="pl-PL"/>
    </w:rPr>
  </w:style>
  <w:style w:type="character" w:customStyle="1" w:styleId="Nagwek9Znak">
    <w:name w:val="Nagłówek 9 Znak"/>
    <w:basedOn w:val="Domylnaczcionkaakapitu"/>
    <w:link w:val="Nagwek9"/>
    <w:rsid w:val="00723D25"/>
    <w:rPr>
      <w:rFonts w:ascii="Times New Roman" w:eastAsia="Times New Roman" w:hAnsi="Times New Roman" w:cs="Times New Roman"/>
      <w:b/>
      <w:sz w:val="28"/>
      <w:szCs w:val="20"/>
      <w:lang w:eastAsia="pl-PL"/>
    </w:rPr>
  </w:style>
  <w:style w:type="paragraph" w:styleId="Legenda">
    <w:name w:val="caption"/>
    <w:basedOn w:val="Normalny"/>
    <w:next w:val="Normalny"/>
    <w:qFormat/>
    <w:rsid w:val="00723D25"/>
    <w:pPr>
      <w:spacing w:line="240" w:lineRule="auto"/>
      <w:ind w:firstLine="0"/>
      <w:jc w:val="left"/>
    </w:pPr>
    <w:rPr>
      <w:rFonts w:ascii="Courier" w:hAnsi="Courier"/>
      <w:szCs w:val="20"/>
    </w:rPr>
  </w:style>
  <w:style w:type="character" w:customStyle="1" w:styleId="podpunkt">
    <w:name w:val="podpunkt"/>
    <w:rsid w:val="00723D25"/>
    <w:rPr>
      <w:rFonts w:ascii="Times New Roman" w:hAnsi="Times New Roman"/>
      <w:b/>
    </w:rPr>
  </w:style>
  <w:style w:type="character" w:customStyle="1" w:styleId="podpodpunkt">
    <w:name w:val="podpodpunkt"/>
    <w:rsid w:val="00723D25"/>
  </w:style>
  <w:style w:type="character" w:customStyle="1" w:styleId="kontynuacja">
    <w:name w:val="kontynuacja"/>
    <w:rsid w:val="00723D25"/>
  </w:style>
  <w:style w:type="character" w:customStyle="1" w:styleId="subminus">
    <w:name w:val="subminus"/>
    <w:rsid w:val="00723D25"/>
  </w:style>
  <w:style w:type="character" w:customStyle="1" w:styleId="paragraf">
    <w:name w:val="paragraf"/>
    <w:rsid w:val="00E219BB"/>
  </w:style>
  <w:style w:type="paragraph" w:styleId="Tekstdymka">
    <w:name w:val="Balloon Text"/>
    <w:basedOn w:val="Normalny"/>
    <w:link w:val="TekstdymkaZnak"/>
    <w:uiPriority w:val="99"/>
    <w:semiHidden/>
    <w:unhideWhenUsed/>
    <w:rsid w:val="00B3443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4430"/>
    <w:rPr>
      <w:rFonts w:ascii="Tahoma" w:eastAsia="Times New Roman" w:hAnsi="Tahoma" w:cs="Tahoma"/>
      <w:sz w:val="16"/>
      <w:szCs w:val="16"/>
      <w:lang w:eastAsia="pl-PL"/>
    </w:rPr>
  </w:style>
  <w:style w:type="table" w:styleId="Tabela-Siatka">
    <w:name w:val="Table Grid"/>
    <w:basedOn w:val="Standardowy"/>
    <w:rsid w:val="00B3443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3805B5"/>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3805B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805B5"/>
    <w:pPr>
      <w:tabs>
        <w:tab w:val="center" w:pos="4536"/>
        <w:tab w:val="right" w:pos="9072"/>
      </w:tabs>
      <w:spacing w:line="240" w:lineRule="auto"/>
    </w:pPr>
  </w:style>
  <w:style w:type="character" w:customStyle="1" w:styleId="StopkaZnak">
    <w:name w:val="Stopka Znak"/>
    <w:basedOn w:val="Domylnaczcionkaakapitu"/>
    <w:link w:val="Stopka"/>
    <w:uiPriority w:val="99"/>
    <w:rsid w:val="003805B5"/>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1469</Words>
  <Characters>8815</Characters>
  <Application>Microsoft Office Word</Application>
  <DocSecurity>0</DocSecurity>
  <Lines>73</Lines>
  <Paragraphs>20</Paragraphs>
  <ScaleCrop>false</ScaleCrop>
  <Company>Scott Wilson Sp. z o.o</Company>
  <LinksUpToDate>false</LinksUpToDate>
  <CharactersWithSpaces>10264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Wilson Sp. z.o.o.</dc:creator>
  <cp:lastModifiedBy>Scott Wilson Sp. z.o.o.</cp:lastModifiedBy>
  <cp:revision>7</cp:revision>
  <dcterms:created xsi:type="dcterms:W3CDTF">2012-08-27T09:03:00Z</dcterms:created>
  <dcterms:modified xsi:type="dcterms:W3CDTF">2012-08-27T09:56:00Z</dcterms:modified>
</cp:coreProperties>
</file>