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noProof/>
          <w:sz w:val="46"/>
          <w:szCs w:val="46"/>
          <w:lang w:eastAsia="pl-PL"/>
        </w:rPr>
        <w:drawing>
          <wp:inline distT="0" distB="0" distL="0" distR="0" wp14:anchorId="03947B27" wp14:editId="7245285C">
            <wp:extent cx="2422713" cy="2766772"/>
            <wp:effectExtent l="0" t="0" r="0" b="0"/>
            <wp:docPr id="1" name="Obraz 1" descr="Herb_Sus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usz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29" cy="27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6B27B4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Pr="006B27B4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ANALIZA  STANU  GOSPODARKI  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ODPADAMI  KOMUNALNYMI</w:t>
      </w:r>
    </w:p>
    <w:p w:rsidR="00205D9F" w:rsidRDefault="00205D9F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Default="002728D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2016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259D2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A1B53" w:rsidRDefault="009A1B53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A1B53" w:rsidRDefault="009A1B53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A1B53" w:rsidRDefault="009A1B53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75066" w:rsidRDefault="00F75066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E755F" w:rsidRDefault="00BE755F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E755F" w:rsidRPr="00631C8F" w:rsidRDefault="00BE755F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1647A" w:rsidRP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1F01DA" w:rsidRDefault="001F01D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5729AA" w:rsidRPr="0045092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(j.t. Dz. U.  z 2016 poz. 250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>komunalnymi oraz innych dostępnych danych 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komunalnymi zgodnie z art. 9tb u 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 zmieszanych odpadów komunalnych, odpadów zielonych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oraz pozostałości z sortowania i pozostałoś</w:t>
      </w:r>
      <w:r>
        <w:rPr>
          <w:rFonts w:ascii="Times New Roman" w:hAnsi="Times New Roman" w:cs="Times New Roman"/>
        </w:rPr>
        <w:t xml:space="preserve">ci z mechaniczno-biologicznego </w:t>
      </w:r>
      <w:r w:rsidRPr="00664BBF">
        <w:rPr>
          <w:rFonts w:ascii="Times New Roman" w:hAnsi="Times New Roman" w:cs="Times New Roman"/>
        </w:rPr>
        <w:t>przetwarzania odpadów komunalnych przeznaczonych do składowania;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unieszkodliwianiem odpadów komunalnych;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7) ilości zmieszanych odpadów komunalnych, odpadów</w:t>
      </w:r>
      <w:r>
        <w:rPr>
          <w:rFonts w:ascii="Times New Roman" w:hAnsi="Times New Roman" w:cs="Times New Roman"/>
        </w:rPr>
        <w:t xml:space="preserve"> zielonych odbieranych z terenu </w:t>
      </w:r>
      <w:r w:rsidRPr="00664BBF">
        <w:rPr>
          <w:rFonts w:ascii="Times New Roman" w:hAnsi="Times New Roman" w:cs="Times New Roman"/>
        </w:rPr>
        <w:t>gminy oraz powstających z przetwarzania odpadów komunalnych pozostałoś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 xml:space="preserve">z sortowania i pozostałości </w:t>
      </w:r>
      <w:r>
        <w:rPr>
          <w:rFonts w:ascii="Times New Roman" w:hAnsi="Times New Roman" w:cs="Times New Roman"/>
        </w:rPr>
        <w:t xml:space="preserve">           </w:t>
      </w:r>
      <w:r w:rsidRPr="00664BBF">
        <w:rPr>
          <w:rFonts w:ascii="Times New Roman" w:hAnsi="Times New Roman" w:cs="Times New Roman"/>
        </w:rPr>
        <w:t>z mechaniczno-biologic</w:t>
      </w:r>
      <w:r>
        <w:rPr>
          <w:rFonts w:ascii="Times New Roman" w:hAnsi="Times New Roman" w:cs="Times New Roman"/>
        </w:rPr>
        <w:t xml:space="preserve">znego przetwarzania odpadów </w:t>
      </w:r>
      <w:r w:rsidRPr="00664BBF">
        <w:rPr>
          <w:rFonts w:ascii="Times New Roman" w:hAnsi="Times New Roman" w:cs="Times New Roman"/>
        </w:rPr>
        <w:t>komunalnych przeznaczonych do składowania.</w:t>
      </w:r>
    </w:p>
    <w:p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A" w:rsidRPr="00943621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ożliwości przetwarzania zmieszanych odpadów komunalnych, odpadów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zielonych oraz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pozostałości z sortowania i pozostał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ości z mechaniczno-biologicznego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przetwarzania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składowania.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BD048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założeniami p</w:t>
      </w:r>
      <w:r w:rsidR="005729AA" w:rsidRPr="003E4DC2">
        <w:rPr>
          <w:rFonts w:ascii="Times New Roman" w:hAnsi="Times New Roman" w:cs="Times New Roman"/>
        </w:rPr>
        <w:t>lanu gospodarki odpadami  dla województwa śląskiego  gmina Suszec  należy do Regionu III. Oznacza to, że zmieszane odpady komunalne</w:t>
      </w:r>
      <w:r w:rsidR="005729AA">
        <w:rPr>
          <w:rFonts w:ascii="Times New Roman" w:hAnsi="Times New Roman" w:cs="Times New Roman"/>
        </w:rPr>
        <w:t xml:space="preserve"> oraz</w:t>
      </w:r>
      <w:r w:rsidR="005729AA" w:rsidRPr="003E4DC2">
        <w:rPr>
          <w:rFonts w:ascii="Times New Roman" w:hAnsi="Times New Roman" w:cs="Times New Roman"/>
        </w:rPr>
        <w:t xml:space="preserve"> odpady  zielone winny być przekazane  do regionalnej instalacji </w:t>
      </w:r>
      <w:r w:rsidR="005729AA">
        <w:rPr>
          <w:rFonts w:ascii="Times New Roman" w:hAnsi="Times New Roman" w:cs="Times New Roman"/>
        </w:rPr>
        <w:t xml:space="preserve"> </w:t>
      </w:r>
      <w:r w:rsidR="005729AA" w:rsidRPr="003E4DC2">
        <w:rPr>
          <w:rFonts w:ascii="Times New Roman" w:hAnsi="Times New Roman" w:cs="Times New Roman"/>
        </w:rPr>
        <w:t xml:space="preserve">do przetwarzania odpadów komunalnych istniejących  </w:t>
      </w:r>
      <w:r w:rsidR="005729AA">
        <w:rPr>
          <w:rFonts w:ascii="Times New Roman" w:hAnsi="Times New Roman" w:cs="Times New Roman"/>
        </w:rPr>
        <w:t xml:space="preserve">              </w:t>
      </w:r>
      <w:r w:rsidR="005729AA" w:rsidRPr="003E4DC2">
        <w:rPr>
          <w:rFonts w:ascii="Times New Roman" w:hAnsi="Times New Roman" w:cs="Times New Roman"/>
        </w:rPr>
        <w:t xml:space="preserve">w </w:t>
      </w:r>
      <w:r w:rsidR="005729AA">
        <w:rPr>
          <w:rFonts w:ascii="Times New Roman" w:hAnsi="Times New Roman" w:cs="Times New Roman"/>
        </w:rPr>
        <w:t xml:space="preserve">   </w:t>
      </w:r>
      <w:r w:rsidR="005729AA" w:rsidRPr="003E4DC2">
        <w:rPr>
          <w:rFonts w:ascii="Times New Roman" w:hAnsi="Times New Roman" w:cs="Times New Roman"/>
        </w:rPr>
        <w:t>regionu III  województwa śląskiego.</w:t>
      </w:r>
    </w:p>
    <w:p w:rsidR="004704D0" w:rsidRPr="003E4DC2" w:rsidRDefault="004704D0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Pr="003E4DC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>Tabela  nr 1 przedstawia  miejsca zagospodarowania przez podmioty odbierające odpady komunalne od właścicieli nieruchomości z terenu Gminy Suszec zmieszanych   odpadów komunalnych, odpadów zielonych oraz pozostałości z sortowania odpadów komunalnych</w:t>
      </w:r>
      <w:r>
        <w:rPr>
          <w:rFonts w:ascii="Times New Roman" w:hAnsi="Times New Roman" w:cs="Times New Roman"/>
        </w:rPr>
        <w:t>.</w:t>
      </w:r>
    </w:p>
    <w:p w:rsidR="005729AA" w:rsidRPr="0045092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2027">
        <w:rPr>
          <w:rFonts w:ascii="Times New Roman" w:hAnsi="Times New Roman" w:cs="Times New Roman"/>
          <w:sz w:val="16"/>
          <w:szCs w:val="16"/>
        </w:rPr>
        <w:t xml:space="preserve"> TABELA NR 1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01DA" w:rsidRPr="001F01DA" w:rsidTr="009B141D">
        <w:tc>
          <w:tcPr>
            <w:tcW w:w="9212" w:type="dxa"/>
            <w:gridSpan w:val="2"/>
          </w:tcPr>
          <w:p w:rsidR="005729AA" w:rsidRPr="001F01DA" w:rsidRDefault="004704D0" w:rsidP="009B141D">
            <w:pPr>
              <w:pStyle w:val="Nagwek1"/>
              <w:jc w:val="center"/>
              <w:outlineLvl w:val="0"/>
              <w:rPr>
                <w:sz w:val="24"/>
              </w:rPr>
            </w:pPr>
            <w:r w:rsidRPr="001F01DA">
              <w:rPr>
                <w:sz w:val="24"/>
              </w:rPr>
              <w:t>2016</w:t>
            </w:r>
          </w:p>
        </w:tc>
      </w:tr>
      <w:tr w:rsidR="001F01DA" w:rsidRPr="001F01DA" w:rsidTr="009B141D">
        <w:trPr>
          <w:trHeight w:val="205"/>
        </w:trPr>
        <w:tc>
          <w:tcPr>
            <w:tcW w:w="4606" w:type="dxa"/>
            <w:vMerge w:val="restart"/>
          </w:tcPr>
          <w:p w:rsidR="004704D0" w:rsidRPr="001F01DA" w:rsidRDefault="00655BA6" w:rsidP="00655BA6">
            <w:pPr>
              <w:tabs>
                <w:tab w:val="left" w:pos="27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1DA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1DA">
              <w:rPr>
                <w:rFonts w:ascii="Times New Roman" w:hAnsi="Times New Roman" w:cs="Times New Roman"/>
                <w:b/>
                <w:sz w:val="18"/>
                <w:szCs w:val="18"/>
              </w:rPr>
              <w:t>Niesegregowane (zmieszane)</w:t>
            </w: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1DA">
              <w:rPr>
                <w:rFonts w:ascii="Times New Roman" w:hAnsi="Times New Roman" w:cs="Times New Roman"/>
                <w:b/>
                <w:sz w:val="18"/>
                <w:szCs w:val="18"/>
              </w:rPr>
              <w:t>odpady komunalne                                                                    (kod 20 03 01)</w:t>
            </w:r>
          </w:p>
        </w:tc>
        <w:tc>
          <w:tcPr>
            <w:tcW w:w="4606" w:type="dxa"/>
          </w:tcPr>
          <w:p w:rsidR="004704D0" w:rsidRPr="001F01DA" w:rsidRDefault="004704D0" w:rsidP="009B1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P.P.U.H. "KOMART" Sp. z o.o.,</w:t>
            </w: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44-194 Knurów,  ul. Szybowa 44</w:t>
            </w:r>
          </w:p>
        </w:tc>
      </w:tr>
      <w:tr w:rsidR="001F01DA" w:rsidRPr="001F01DA" w:rsidTr="009B141D">
        <w:trPr>
          <w:trHeight w:val="385"/>
        </w:trPr>
        <w:tc>
          <w:tcPr>
            <w:tcW w:w="4606" w:type="dxa"/>
            <w:vMerge/>
          </w:tcPr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4704D0" w:rsidRPr="001F01DA" w:rsidRDefault="004704D0" w:rsidP="009B1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 w:rsidRPr="001F01DA"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4704D0" w:rsidRPr="001F01DA" w:rsidRDefault="004704D0" w:rsidP="009B1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44-330 Jastrzębie Zdrój, ul. Dębina 36</w:t>
            </w:r>
          </w:p>
        </w:tc>
      </w:tr>
      <w:tr w:rsidR="001F01DA" w:rsidRPr="001F01DA" w:rsidTr="009B141D">
        <w:trPr>
          <w:trHeight w:val="385"/>
        </w:trPr>
        <w:tc>
          <w:tcPr>
            <w:tcW w:w="4606" w:type="dxa"/>
            <w:vMerge/>
          </w:tcPr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4704D0" w:rsidRPr="001F01DA" w:rsidRDefault="004704D0" w:rsidP="001F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SEGO</w:t>
            </w:r>
            <w:r w:rsidR="001F0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1DA" w:rsidRPr="001F01D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Zakład Przerobu Odpadów Komunalnych</w:t>
            </w:r>
          </w:p>
          <w:p w:rsidR="00655BA6" w:rsidRPr="001F01DA" w:rsidRDefault="004704D0" w:rsidP="00655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43-251 Rybnik, ul. Kolberga 65</w:t>
            </w:r>
          </w:p>
        </w:tc>
      </w:tr>
      <w:tr w:rsidR="001F01DA" w:rsidRPr="001F01DA" w:rsidTr="004704D0">
        <w:trPr>
          <w:trHeight w:val="419"/>
        </w:trPr>
        <w:tc>
          <w:tcPr>
            <w:tcW w:w="4606" w:type="dxa"/>
            <w:vMerge w:val="restart"/>
          </w:tcPr>
          <w:p w:rsidR="004704D0" w:rsidRPr="001F01DA" w:rsidRDefault="004704D0" w:rsidP="00470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1DA">
              <w:rPr>
                <w:rFonts w:ascii="Times New Roman" w:hAnsi="Times New Roman" w:cs="Times New Roman"/>
                <w:b/>
                <w:sz w:val="18"/>
                <w:szCs w:val="18"/>
              </w:rPr>
              <w:t>Odpady ulegające biodegradacji</w:t>
            </w: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1DA">
              <w:rPr>
                <w:rFonts w:ascii="Times New Roman" w:hAnsi="Times New Roman" w:cs="Times New Roman"/>
                <w:b/>
                <w:sz w:val="18"/>
                <w:szCs w:val="18"/>
              </w:rPr>
              <w:t>(kod 20 02 01)</w:t>
            </w:r>
          </w:p>
        </w:tc>
        <w:tc>
          <w:tcPr>
            <w:tcW w:w="4606" w:type="dxa"/>
          </w:tcPr>
          <w:p w:rsidR="004704D0" w:rsidRPr="001F01DA" w:rsidRDefault="004704D0" w:rsidP="009B1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BEST-EKO Sp. z o.o.</w:t>
            </w:r>
          </w:p>
          <w:p w:rsidR="004704D0" w:rsidRPr="001F01DA" w:rsidRDefault="004704D0" w:rsidP="009B1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44-240 Żory, ul. Gwarków  1</w:t>
            </w:r>
          </w:p>
        </w:tc>
      </w:tr>
      <w:tr w:rsidR="001F01DA" w:rsidRPr="001F01DA" w:rsidTr="004704D0">
        <w:trPr>
          <w:trHeight w:val="411"/>
        </w:trPr>
        <w:tc>
          <w:tcPr>
            <w:tcW w:w="4606" w:type="dxa"/>
            <w:vMerge/>
          </w:tcPr>
          <w:p w:rsidR="005729AA" w:rsidRPr="001F01DA" w:rsidRDefault="005729AA" w:rsidP="004704D0">
            <w:pPr>
              <w:pStyle w:val="Nagwek1"/>
              <w:jc w:val="center"/>
              <w:outlineLvl w:val="0"/>
              <w:rPr>
                <w:sz w:val="24"/>
              </w:rPr>
            </w:pPr>
          </w:p>
        </w:tc>
        <w:tc>
          <w:tcPr>
            <w:tcW w:w="4606" w:type="dxa"/>
          </w:tcPr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 w:rsidRPr="001F01DA"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5729AA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44-330 Jastrzębie Zdrój, ul. Dębina 36,</w:t>
            </w:r>
          </w:p>
        </w:tc>
      </w:tr>
      <w:tr w:rsidR="001F01DA" w:rsidRPr="001F01DA" w:rsidTr="009B141D">
        <w:tc>
          <w:tcPr>
            <w:tcW w:w="4606" w:type="dxa"/>
            <w:vMerge w:val="restart"/>
          </w:tcPr>
          <w:p w:rsidR="001F01DA" w:rsidRPr="001F01DA" w:rsidRDefault="001F01DA" w:rsidP="001F01DA">
            <w:pPr>
              <w:pStyle w:val="Nagwek1"/>
              <w:jc w:val="center"/>
              <w:outlineLvl w:val="0"/>
              <w:rPr>
                <w:sz w:val="4"/>
                <w:szCs w:val="4"/>
              </w:rPr>
            </w:pPr>
          </w:p>
          <w:p w:rsidR="004704D0" w:rsidRPr="001F01DA" w:rsidRDefault="004704D0" w:rsidP="001F01DA">
            <w:pPr>
              <w:pStyle w:val="Nagwek1"/>
              <w:jc w:val="center"/>
              <w:outlineLvl w:val="0"/>
              <w:rPr>
                <w:sz w:val="18"/>
                <w:szCs w:val="18"/>
              </w:rPr>
            </w:pPr>
            <w:r w:rsidRPr="001F01DA">
              <w:rPr>
                <w:sz w:val="18"/>
                <w:szCs w:val="18"/>
              </w:rPr>
              <w:t xml:space="preserve">Pozostałości z sortowania odpadów komunalnych przeznaczone do składowania </w:t>
            </w:r>
            <w:r w:rsidRPr="001F01DA">
              <w:rPr>
                <w:sz w:val="18"/>
                <w:szCs w:val="18"/>
              </w:rPr>
              <w:br/>
              <w:t>(kod 19 12 12)</w:t>
            </w:r>
          </w:p>
        </w:tc>
        <w:tc>
          <w:tcPr>
            <w:tcW w:w="4606" w:type="dxa"/>
          </w:tcPr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P.P.U.H. "KOMART" Sp. z o.o.,                                                              44-194 Knurów,  ul. Szybowa 44</w:t>
            </w:r>
          </w:p>
        </w:tc>
      </w:tr>
      <w:tr w:rsidR="001F01DA" w:rsidRPr="001F01DA" w:rsidTr="009B141D">
        <w:tc>
          <w:tcPr>
            <w:tcW w:w="4606" w:type="dxa"/>
            <w:vMerge/>
          </w:tcPr>
          <w:p w:rsidR="004704D0" w:rsidRPr="001F01DA" w:rsidRDefault="004704D0" w:rsidP="009B141D">
            <w:pPr>
              <w:pStyle w:val="Nagwek1"/>
              <w:jc w:val="center"/>
              <w:outlineLvl w:val="0"/>
              <w:rPr>
                <w:b w:val="0"/>
                <w:sz w:val="24"/>
              </w:rPr>
            </w:pPr>
          </w:p>
        </w:tc>
        <w:tc>
          <w:tcPr>
            <w:tcW w:w="4606" w:type="dxa"/>
          </w:tcPr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Cofinco</w:t>
            </w:r>
            <w:proofErr w:type="spellEnd"/>
            <w:r w:rsidRPr="001F01DA">
              <w:rPr>
                <w:rFonts w:ascii="Times New Roman" w:hAnsi="Times New Roman" w:cs="Times New Roman"/>
                <w:sz w:val="16"/>
                <w:szCs w:val="16"/>
              </w:rPr>
              <w:t xml:space="preserve"> Poland Sp. z o.o.,</w:t>
            </w:r>
          </w:p>
          <w:p w:rsidR="004704D0" w:rsidRPr="001F01DA" w:rsidRDefault="004704D0" w:rsidP="00470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44-330 Jastrzębie Zdrój, ul. Dębina 36</w:t>
            </w:r>
          </w:p>
        </w:tc>
      </w:tr>
      <w:tr w:rsidR="001F01DA" w:rsidRPr="001F01DA" w:rsidTr="009B141D">
        <w:trPr>
          <w:trHeight w:val="381"/>
        </w:trPr>
        <w:tc>
          <w:tcPr>
            <w:tcW w:w="4606" w:type="dxa"/>
            <w:vMerge/>
          </w:tcPr>
          <w:p w:rsidR="004704D0" w:rsidRPr="001F01DA" w:rsidRDefault="004704D0" w:rsidP="009B141D">
            <w:pPr>
              <w:pStyle w:val="Nagwek1"/>
              <w:jc w:val="center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</w:tcPr>
          <w:p w:rsidR="004704D0" w:rsidRPr="001F01DA" w:rsidRDefault="004704D0" w:rsidP="001F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SEGO</w:t>
            </w:r>
            <w:r w:rsidR="001F01DA" w:rsidRPr="001F01DA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1F01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Zakład Przerobu Odpadów Komunalnych</w:t>
            </w:r>
          </w:p>
          <w:p w:rsidR="004704D0" w:rsidRPr="001F01DA" w:rsidRDefault="004704D0" w:rsidP="001F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DA">
              <w:rPr>
                <w:rFonts w:ascii="Times New Roman" w:hAnsi="Times New Roman" w:cs="Times New Roman"/>
                <w:sz w:val="16"/>
                <w:szCs w:val="16"/>
              </w:rPr>
              <w:t>43-251 Rybnik, ul. Kolberga 65</w:t>
            </w:r>
          </w:p>
        </w:tc>
      </w:tr>
    </w:tbl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Pr="00F82027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Gmina Suszec zamierza  zmodernizować istniejący Punkt Selektywnej  Zbiórki Odpadów Komunalnych zlokalizowany w Suszcu przy ul. Ogrodowej 2. Zadanie inwestycyjne obejmować będzie :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1.  wykonanie niezależnego dojazdu do punktu,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2.  wykonanie częściowego zadaszenia, 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3.  zakup  kontenerów na odpady komunalne. 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>dliwianiem  odpadów  komunalnych.</w:t>
      </w:r>
    </w:p>
    <w:p w:rsidR="005729AA" w:rsidRPr="0087649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W </w:t>
      </w:r>
      <w:r w:rsidR="00655BA6">
        <w:rPr>
          <w:rFonts w:ascii="Times New Roman" w:hAnsi="Times New Roman" w:cs="Times New Roman"/>
        </w:rPr>
        <w:t xml:space="preserve"> 2016</w:t>
      </w:r>
      <w:r w:rsidRPr="008259D2">
        <w:rPr>
          <w:rFonts w:ascii="Times New Roman" w:hAnsi="Times New Roman" w:cs="Times New Roman"/>
        </w:rPr>
        <w:t xml:space="preserve"> r. gmina Suszec za realizację zadania pn. ,, Odbiór i zagospodarowanie  odpadów  komunalnych  od właścicieli  zamieszkałych  nieruchomości na terenie  Gminy Suszec ”       </w:t>
      </w:r>
      <w:r>
        <w:rPr>
          <w:rFonts w:ascii="Times New Roman" w:hAnsi="Times New Roman" w:cs="Times New Roman"/>
        </w:rPr>
        <w:t xml:space="preserve">             </w:t>
      </w:r>
      <w:r w:rsidRPr="008259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poniosła koszty w wysokości</w:t>
      </w:r>
      <w:r w:rsidR="00655BA6">
        <w:rPr>
          <w:rFonts w:ascii="Times New Roman" w:hAnsi="Times New Roman" w:cs="Times New Roman"/>
        </w:rPr>
        <w:t xml:space="preserve">  1 139 912,64</w:t>
      </w:r>
      <w:r>
        <w:rPr>
          <w:rFonts w:ascii="Times New Roman" w:hAnsi="Times New Roman"/>
          <w:sz w:val="20"/>
        </w:rPr>
        <w:t xml:space="preserve"> </w:t>
      </w:r>
      <w:r w:rsidRPr="008259D2">
        <w:rPr>
          <w:rFonts w:ascii="Times New Roman" w:hAnsi="Times New Roman" w:cs="Times New Roman"/>
        </w:rPr>
        <w:t>zł brutto.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5729AA" w:rsidRPr="0087649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Ilość mieszkańców  w gminie  Suszec</w:t>
      </w:r>
      <w:r w:rsidR="001F01DA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Pr="00943621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5729AA" w:rsidRPr="00943621" w:rsidTr="009B141D">
        <w:tc>
          <w:tcPr>
            <w:tcW w:w="5353" w:type="dxa"/>
            <w:shd w:val="clear" w:color="auto" w:fill="auto"/>
          </w:tcPr>
          <w:p w:rsidR="005729AA" w:rsidRPr="005B5CD9" w:rsidRDefault="005729AA" w:rsidP="009B1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mieszkańców </w:t>
            </w:r>
          </w:p>
        </w:tc>
        <w:tc>
          <w:tcPr>
            <w:tcW w:w="3686" w:type="dxa"/>
          </w:tcPr>
          <w:p w:rsidR="005729AA" w:rsidRPr="005B5CD9" w:rsidRDefault="009C330E" w:rsidP="009B1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 na dzień 31.12.2016</w:t>
            </w:r>
            <w:r w:rsidR="005729AA"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5729AA" w:rsidRPr="00943621" w:rsidTr="009B141D">
        <w:tc>
          <w:tcPr>
            <w:tcW w:w="5353" w:type="dxa"/>
            <w:shd w:val="clear" w:color="auto" w:fill="auto"/>
          </w:tcPr>
          <w:p w:rsidR="005729AA" w:rsidRPr="00943621" w:rsidRDefault="005729AA" w:rsidP="009B1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686" w:type="dxa"/>
          </w:tcPr>
          <w:p w:rsidR="005729AA" w:rsidRPr="00943621" w:rsidRDefault="009C330E" w:rsidP="009B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5729AA" w:rsidRPr="00943621" w:rsidTr="009B141D">
        <w:tc>
          <w:tcPr>
            <w:tcW w:w="5353" w:type="dxa"/>
            <w:shd w:val="clear" w:color="auto" w:fill="auto"/>
          </w:tcPr>
          <w:p w:rsidR="005729AA" w:rsidRPr="00943621" w:rsidRDefault="005729AA" w:rsidP="009B1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686" w:type="dxa"/>
          </w:tcPr>
          <w:p w:rsidR="005729AA" w:rsidRPr="00943621" w:rsidRDefault="009C330E" w:rsidP="009B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11 911</w:t>
            </w:r>
          </w:p>
        </w:tc>
      </w:tr>
      <w:tr w:rsidR="005729AA" w:rsidRPr="00943621" w:rsidTr="009B141D">
        <w:tc>
          <w:tcPr>
            <w:tcW w:w="5353" w:type="dxa"/>
            <w:shd w:val="clear" w:color="auto" w:fill="auto"/>
          </w:tcPr>
          <w:p w:rsidR="005729AA" w:rsidRPr="00943621" w:rsidRDefault="005729AA" w:rsidP="009B1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686" w:type="dxa"/>
          </w:tcPr>
          <w:p w:rsidR="005729AA" w:rsidRPr="00943621" w:rsidRDefault="005729AA" w:rsidP="009B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33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12 095</w:t>
            </w:r>
          </w:p>
        </w:tc>
      </w:tr>
    </w:tbl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>o: UG Suszec Ewidencja Ludności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69">
        <w:rPr>
          <w:rFonts w:ascii="Times New Roman" w:hAnsi="Times New Roman" w:cs="Times New Roman"/>
        </w:rPr>
        <w:t>Gmina prowadzi  kontrolę w  przedmiotowym zakresie.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5729AA" w:rsidRPr="007F7ADE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729AA" w:rsidRPr="003E4DC2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Gmina Suszec nie dysponuje  danymi dotyczącymi ilości wytwarzanych odpadów komunalnych </w:t>
      </w:r>
      <w:r>
        <w:rPr>
          <w:rFonts w:ascii="Times New Roman" w:hAnsi="Times New Roman" w:cs="Times New Roman"/>
        </w:rPr>
        <w:t xml:space="preserve">             </w:t>
      </w:r>
      <w:r w:rsidRPr="003E4DC2">
        <w:rPr>
          <w:rFonts w:ascii="Times New Roman" w:hAnsi="Times New Roman" w:cs="Times New Roman"/>
        </w:rPr>
        <w:t>w gminie</w:t>
      </w:r>
      <w:r>
        <w:rPr>
          <w:rFonts w:ascii="Times New Roman" w:hAnsi="Times New Roman" w:cs="Times New Roman"/>
        </w:rPr>
        <w:t>.</w:t>
      </w:r>
      <w:r w:rsidRPr="003E4DC2">
        <w:rPr>
          <w:rFonts w:ascii="Times New Roman" w:hAnsi="Times New Roman" w:cs="Times New Roman"/>
        </w:rPr>
        <w:t xml:space="preserve"> Jednostkowe wskaźniki wytwarzania  odpadów komunalnych  zawarte są w </w:t>
      </w:r>
      <w:r w:rsidR="004C22C7">
        <w:rPr>
          <w:rFonts w:ascii="Times New Roman" w:hAnsi="Times New Roman" w:cs="Times New Roman"/>
        </w:rPr>
        <w:t>p</w:t>
      </w:r>
      <w:r w:rsidRPr="003E4DC2">
        <w:rPr>
          <w:rFonts w:ascii="Times New Roman" w:hAnsi="Times New Roman" w:cs="Times New Roman"/>
        </w:rPr>
        <w:t xml:space="preserve">lanie gospodarki odpadami </w:t>
      </w:r>
      <w:r w:rsidR="004C22C7">
        <w:rPr>
          <w:rFonts w:ascii="Times New Roman" w:hAnsi="Times New Roman" w:cs="Times New Roman"/>
        </w:rPr>
        <w:t>dla województwa śląskiego.</w:t>
      </w:r>
      <w:r w:rsidRPr="003E4DC2">
        <w:rPr>
          <w:rFonts w:ascii="Times New Roman" w:hAnsi="Times New Roman" w:cs="Times New Roman"/>
        </w:rPr>
        <w:t xml:space="preserve"> </w:t>
      </w: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 xml:space="preserve">Tabela nr 3 przedstawia ilości odebranych  odpadów komunalnych   z terenu gminy Suszec </w:t>
      </w:r>
      <w:r>
        <w:rPr>
          <w:rFonts w:ascii="Times New Roman" w:hAnsi="Times New Roman" w:cs="Times New Roman"/>
        </w:rPr>
        <w:t>w 201</w:t>
      </w:r>
      <w:r w:rsidR="001E48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 .</w:t>
      </w:r>
      <w:r w:rsidRPr="003E4DC2">
        <w:rPr>
          <w:rFonts w:ascii="Times New Roman" w:hAnsi="Times New Roman" w:cs="Times New Roman"/>
        </w:rPr>
        <w:t xml:space="preserve"> </w:t>
      </w:r>
    </w:p>
    <w:p w:rsidR="005729AA" w:rsidRPr="007F7ADE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729AA" w:rsidRPr="001540D3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362"/>
        <w:gridCol w:w="2126"/>
      </w:tblGrid>
      <w:tr w:rsidR="005729AA" w:rsidRPr="00A06F54" w:rsidTr="007E451D">
        <w:trPr>
          <w:trHeight w:val="1409"/>
        </w:trPr>
        <w:tc>
          <w:tcPr>
            <w:tcW w:w="2409" w:type="dxa"/>
            <w:shd w:val="clear" w:color="auto" w:fill="D9D9D9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CD">
              <w:rPr>
                <w:rFonts w:ascii="Arial" w:hAnsi="Arial" w:cs="Arial"/>
                <w:sz w:val="18"/>
                <w:szCs w:val="18"/>
              </w:rPr>
              <w:t>Kod odebranych odpadów komunalnych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CD">
              <w:rPr>
                <w:rFonts w:ascii="Arial" w:hAnsi="Arial" w:cs="Arial"/>
                <w:sz w:val="18"/>
                <w:szCs w:val="18"/>
              </w:rPr>
              <w:t>Rodzaj odebranych odpadów komunalnych</w:t>
            </w:r>
          </w:p>
        </w:tc>
        <w:tc>
          <w:tcPr>
            <w:tcW w:w="2126" w:type="dxa"/>
            <w:shd w:val="clear" w:color="auto" w:fill="D9D9D9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9AA" w:rsidRPr="00A31ACD" w:rsidRDefault="00B673E6" w:rsidP="007E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1ACD">
              <w:rPr>
                <w:rFonts w:ascii="Arial" w:hAnsi="Arial" w:cs="Arial"/>
                <w:sz w:val="18"/>
                <w:szCs w:val="18"/>
              </w:rPr>
              <w:t>M</w:t>
            </w:r>
            <w:r w:rsidR="005729AA" w:rsidRPr="00A31ACD">
              <w:rPr>
                <w:rFonts w:ascii="Arial" w:hAnsi="Arial" w:cs="Arial"/>
                <w:sz w:val="18"/>
                <w:szCs w:val="18"/>
              </w:rPr>
              <w:t>asa odebranych odpadów komunalnych</w:t>
            </w:r>
            <w:r w:rsidR="005729AA" w:rsidRPr="00A31AC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5729AA" w:rsidRPr="00A31ACD">
              <w:rPr>
                <w:rFonts w:ascii="Arial" w:hAnsi="Arial" w:cs="Arial"/>
                <w:sz w:val="18"/>
                <w:szCs w:val="18"/>
              </w:rPr>
              <w:t xml:space="preserve">             [Mg]</w:t>
            </w:r>
          </w:p>
        </w:tc>
      </w:tr>
      <w:tr w:rsidR="005729AA" w:rsidRPr="00A55741" w:rsidTr="007E451D">
        <w:trPr>
          <w:trHeight w:val="332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20 03 01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Niesegregowane (zmieszane) odpady komunalne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</w:t>
            </w:r>
            <w:r w:rsidR="00BB30D8" w:rsidRPr="00A31ACD">
              <w:rPr>
                <w:sz w:val="20"/>
                <w:szCs w:val="20"/>
              </w:rPr>
              <w:t> 219,46</w:t>
            </w:r>
            <w:r w:rsidR="001E4844" w:rsidRPr="00A31ACD">
              <w:rPr>
                <w:sz w:val="20"/>
                <w:szCs w:val="20"/>
              </w:rPr>
              <w:t>0</w:t>
            </w:r>
          </w:p>
        </w:tc>
      </w:tr>
      <w:tr w:rsidR="005729AA" w:rsidRPr="00A55741" w:rsidTr="007E451D">
        <w:trPr>
          <w:trHeight w:val="273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20 02 01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Odpady ulegające biodegradacji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0E766C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7,840</w:t>
            </w:r>
          </w:p>
        </w:tc>
      </w:tr>
      <w:tr w:rsidR="005729AA" w:rsidRPr="00A55741" w:rsidTr="007E451D">
        <w:trPr>
          <w:trHeight w:val="273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15 01 01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Opakowania z papieru i tektury</w:t>
            </w:r>
          </w:p>
        </w:tc>
        <w:tc>
          <w:tcPr>
            <w:tcW w:w="2126" w:type="dxa"/>
          </w:tcPr>
          <w:p w:rsidR="00A31ACD" w:rsidRDefault="00A31AC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1E4844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42,110</w:t>
            </w:r>
          </w:p>
        </w:tc>
      </w:tr>
      <w:tr w:rsidR="005729AA" w:rsidRPr="00A55741" w:rsidTr="007E451D">
        <w:trPr>
          <w:trHeight w:val="33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15 01 02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Opakowania z tworzyw sztucznych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5E151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200,300</w:t>
            </w:r>
          </w:p>
        </w:tc>
      </w:tr>
      <w:tr w:rsidR="005729AA" w:rsidRPr="00A55741" w:rsidTr="007E451D">
        <w:trPr>
          <w:trHeight w:val="272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15 01 06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Zmieszane  odpady opakowaniowe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5E151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54,800</w:t>
            </w:r>
          </w:p>
        </w:tc>
      </w:tr>
      <w:tr w:rsidR="005729AA" w:rsidRPr="00A55741" w:rsidTr="007E451D">
        <w:trPr>
          <w:trHeight w:val="283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15 01 07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Opakowania ze szkła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5E151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213,</w:t>
            </w:r>
            <w:r w:rsidR="000E766C" w:rsidRPr="00A31ACD">
              <w:rPr>
                <w:sz w:val="20"/>
                <w:szCs w:val="20"/>
              </w:rPr>
              <w:t>6</w:t>
            </w:r>
            <w:r w:rsidRPr="00A31ACD">
              <w:rPr>
                <w:sz w:val="20"/>
                <w:szCs w:val="20"/>
              </w:rPr>
              <w:t>00</w:t>
            </w:r>
          </w:p>
        </w:tc>
      </w:tr>
      <w:tr w:rsidR="005729AA" w:rsidRPr="00A55741" w:rsidTr="007E451D">
        <w:trPr>
          <w:trHeight w:val="273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20 01 02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Szkło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5E151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0,800</w:t>
            </w:r>
          </w:p>
        </w:tc>
      </w:tr>
      <w:tr w:rsidR="005729AA" w:rsidRPr="00A55741" w:rsidTr="007E451D">
        <w:trPr>
          <w:trHeight w:val="38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20 01 99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I</w:t>
            </w:r>
            <w:r w:rsidR="005729AA" w:rsidRPr="00A31ACD">
              <w:rPr>
                <w:sz w:val="16"/>
                <w:szCs w:val="16"/>
              </w:rPr>
              <w:t>nne  niewymienione  frakcje  zbierane w sposób selektywny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5E151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1073,900</w:t>
            </w:r>
          </w:p>
        </w:tc>
      </w:tr>
      <w:tr w:rsidR="005729AA" w:rsidRPr="00A55741" w:rsidTr="007E451D">
        <w:trPr>
          <w:trHeight w:val="38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 xml:space="preserve">20 02 03 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Inne odpady nieulegające biodegradacji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CB7BB8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15,500</w:t>
            </w:r>
          </w:p>
        </w:tc>
      </w:tr>
      <w:tr w:rsidR="005729AA" w:rsidRPr="00A55741" w:rsidTr="007E451D">
        <w:trPr>
          <w:trHeight w:val="38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20 03 07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Odpady wielkogabarytowe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CB7BB8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49,900</w:t>
            </w:r>
          </w:p>
        </w:tc>
      </w:tr>
      <w:tr w:rsidR="005729AA" w:rsidRPr="00A55741" w:rsidTr="007E451D">
        <w:trPr>
          <w:trHeight w:val="38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17 01 01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Odpady betonu oraz gruz betonowy z rozbiórek i remontów</w:t>
            </w:r>
          </w:p>
        </w:tc>
        <w:tc>
          <w:tcPr>
            <w:tcW w:w="2126" w:type="dxa"/>
          </w:tcPr>
          <w:p w:rsidR="001F01DA" w:rsidRDefault="001F01D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CB7BB8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5,100</w:t>
            </w:r>
          </w:p>
        </w:tc>
      </w:tr>
      <w:tr w:rsidR="005729AA" w:rsidRPr="00A55741" w:rsidTr="007E451D">
        <w:trPr>
          <w:trHeight w:val="38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17 06 04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Materiały izolacyjne inne niż wymienione  w 17 06 01 i 17 06 03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CB7BB8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2,200</w:t>
            </w:r>
          </w:p>
        </w:tc>
      </w:tr>
      <w:tr w:rsidR="005729AA" w:rsidRPr="00A55741" w:rsidTr="007E451D">
        <w:trPr>
          <w:trHeight w:val="555"/>
        </w:trPr>
        <w:tc>
          <w:tcPr>
            <w:tcW w:w="2409" w:type="dxa"/>
            <w:vAlign w:val="center"/>
          </w:tcPr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17 09 04</w:t>
            </w:r>
          </w:p>
        </w:tc>
        <w:tc>
          <w:tcPr>
            <w:tcW w:w="4362" w:type="dxa"/>
            <w:vAlign w:val="center"/>
          </w:tcPr>
          <w:p w:rsidR="003D4712" w:rsidRPr="00A31ACD" w:rsidRDefault="003D4712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729AA" w:rsidRPr="00A31ACD" w:rsidRDefault="005729AA" w:rsidP="007E45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ACD">
              <w:rPr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2126" w:type="dxa"/>
          </w:tcPr>
          <w:p w:rsidR="007E451D" w:rsidRPr="00A31ACD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29AA" w:rsidRPr="00A31ACD" w:rsidRDefault="00CB7BB8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1ACD">
              <w:rPr>
                <w:sz w:val="20"/>
                <w:szCs w:val="20"/>
              </w:rPr>
              <w:t>4,600</w:t>
            </w:r>
          </w:p>
        </w:tc>
      </w:tr>
    </w:tbl>
    <w:p w:rsidR="005729AA" w:rsidRDefault="005729AA" w:rsidP="005729AA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odbierające odpady komunalne z terenu gminy Suszec</w:t>
      </w:r>
    </w:p>
    <w:p w:rsidR="005729AA" w:rsidRDefault="005729AA" w:rsidP="005729AA">
      <w:pPr>
        <w:jc w:val="both"/>
        <w:rPr>
          <w:rFonts w:ascii="Times New Roman" w:hAnsi="Times New Roman" w:cs="Times New Roman"/>
        </w:rPr>
      </w:pPr>
    </w:p>
    <w:p w:rsidR="003D4712" w:rsidRDefault="003D4712" w:rsidP="005729AA">
      <w:pPr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Pr="003E4DC2">
        <w:rPr>
          <w:rFonts w:ascii="Times New Roman" w:hAnsi="Times New Roman" w:cs="Times New Roman"/>
        </w:rPr>
        <w:t>abela nr 4</w:t>
      </w:r>
      <w:r>
        <w:rPr>
          <w:rFonts w:ascii="Times New Roman" w:hAnsi="Times New Roman" w:cs="Times New Roman"/>
        </w:rPr>
        <w:t xml:space="preserve"> </w:t>
      </w:r>
      <w:r w:rsidRPr="003E4DC2">
        <w:rPr>
          <w:rFonts w:ascii="Times New Roman" w:hAnsi="Times New Roman" w:cs="Times New Roman"/>
        </w:rPr>
        <w:t xml:space="preserve"> przedstawia zestawienie ilości odpadów komunalnych zebranych w PSZOK</w:t>
      </w:r>
      <w:r w:rsidR="00B673E6">
        <w:rPr>
          <w:rFonts w:ascii="Times New Roman" w:hAnsi="Times New Roman" w:cs="Times New Roman"/>
        </w:rPr>
        <w:t xml:space="preserve">                      </w:t>
      </w:r>
      <w:r w:rsidRPr="003E4DC2">
        <w:rPr>
          <w:rFonts w:ascii="Times New Roman" w:hAnsi="Times New Roman" w:cs="Times New Roman"/>
        </w:rPr>
        <w:t xml:space="preserve"> i w Aptece Św. Stanisława</w:t>
      </w:r>
    </w:p>
    <w:p w:rsidR="005729AA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4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pPr w:leftFromText="141" w:rightFromText="141" w:vertAnchor="text" w:horzAnchor="margin" w:tblpY="12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5"/>
        <w:gridCol w:w="2126"/>
      </w:tblGrid>
      <w:tr w:rsidR="007E451D" w:rsidRPr="001E63AE" w:rsidTr="007E451D">
        <w:trPr>
          <w:trHeight w:val="942"/>
        </w:trPr>
        <w:tc>
          <w:tcPr>
            <w:tcW w:w="2410" w:type="dxa"/>
            <w:shd w:val="clear" w:color="auto" w:fill="D9D9D9"/>
            <w:vAlign w:val="center"/>
          </w:tcPr>
          <w:p w:rsidR="007E451D" w:rsidRPr="005B5CD9" w:rsidRDefault="007E451D" w:rsidP="007E451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Kod zebranych odpadów komunalnych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7E451D" w:rsidRPr="005B5CD9" w:rsidRDefault="007E451D" w:rsidP="007E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 xml:space="preserve">Rodzaj   zebranych odpadów  komunalnych </w:t>
            </w:r>
          </w:p>
        </w:tc>
        <w:tc>
          <w:tcPr>
            <w:tcW w:w="2126" w:type="dxa"/>
            <w:shd w:val="clear" w:color="auto" w:fill="D9D9D9"/>
          </w:tcPr>
          <w:p w:rsidR="007E451D" w:rsidRPr="005B5CD9" w:rsidRDefault="007E451D" w:rsidP="007E4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Masa  zebranych  odpadów  komunalnych</w:t>
            </w:r>
          </w:p>
        </w:tc>
      </w:tr>
      <w:tr w:rsidR="007E451D" w:rsidRPr="00A55741" w:rsidTr="007E451D">
        <w:trPr>
          <w:trHeight w:val="413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15 01 01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 papieru  i tektury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0,840</w:t>
            </w:r>
          </w:p>
        </w:tc>
      </w:tr>
      <w:tr w:rsidR="007E451D" w:rsidRPr="00A55741" w:rsidTr="007E451D">
        <w:trPr>
          <w:trHeight w:val="285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15 01 02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 tworzyw sztucznych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</w:tr>
      <w:tr w:rsidR="007E451D" w:rsidRPr="00A55741" w:rsidTr="007E451D">
        <w:trPr>
          <w:trHeight w:val="415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15 01 07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Opakowania ze szkła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</w:tr>
      <w:tr w:rsidR="007E451D" w:rsidRPr="00A55741" w:rsidTr="007E451D">
        <w:trPr>
          <w:trHeight w:val="285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Zużyte opony</w:t>
            </w:r>
          </w:p>
        </w:tc>
        <w:tc>
          <w:tcPr>
            <w:tcW w:w="2126" w:type="dxa"/>
          </w:tcPr>
          <w:p w:rsidR="007E451D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5,140</w:t>
            </w:r>
          </w:p>
        </w:tc>
      </w:tr>
      <w:tr w:rsidR="007E451D" w:rsidRPr="00A55741" w:rsidTr="007E451D">
        <w:trPr>
          <w:trHeight w:val="361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17 01 01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betonu  oraz  gruz betonowy</w:t>
            </w:r>
            <w:r>
              <w:rPr>
                <w:sz w:val="14"/>
                <w:szCs w:val="14"/>
              </w:rPr>
              <w:t xml:space="preserve"> </w:t>
            </w:r>
            <w:r w:rsidRPr="006F6BF9">
              <w:rPr>
                <w:sz w:val="14"/>
                <w:szCs w:val="14"/>
              </w:rPr>
              <w:t>z rozbiórek i remontów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2,660</w:t>
            </w:r>
          </w:p>
        </w:tc>
      </w:tr>
      <w:tr w:rsidR="007E451D" w:rsidRPr="00A55741" w:rsidTr="007E451D">
        <w:trPr>
          <w:trHeight w:val="328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17 03 80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Odpadowa papa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4,080</w:t>
            </w:r>
          </w:p>
        </w:tc>
      </w:tr>
      <w:tr w:rsidR="007E451D" w:rsidRPr="00A55741" w:rsidTr="007E451D">
        <w:trPr>
          <w:trHeight w:val="404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17 06 04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Materiały izolacyjne  inne niż wymienione</w:t>
            </w:r>
            <w:r>
              <w:rPr>
                <w:sz w:val="14"/>
                <w:szCs w:val="14"/>
              </w:rPr>
              <w:t xml:space="preserve"> </w:t>
            </w:r>
            <w:r w:rsidRPr="006F6BF9">
              <w:rPr>
                <w:sz w:val="14"/>
                <w:szCs w:val="14"/>
              </w:rPr>
              <w:t>w 17 06 01 i 17 06 03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7,940</w:t>
            </w:r>
          </w:p>
        </w:tc>
      </w:tr>
      <w:tr w:rsidR="007E451D" w:rsidRPr="00A55741" w:rsidTr="007E451D">
        <w:trPr>
          <w:trHeight w:val="527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17 09 04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Zmieszane odpady  z budowy, remontów i demontażu inne niż wymienione w 17 09 01,17 09 02 i 170903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184,780</w:t>
            </w:r>
          </w:p>
        </w:tc>
      </w:tr>
      <w:tr w:rsidR="007E451D" w:rsidRPr="00A55741" w:rsidTr="007E451D">
        <w:trPr>
          <w:trHeight w:val="490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21*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Lampy </w:t>
            </w:r>
            <w:proofErr w:type="spellStart"/>
            <w:r>
              <w:rPr>
                <w:sz w:val="14"/>
                <w:szCs w:val="14"/>
              </w:rPr>
              <w:t>fluoroscencyjnye</w:t>
            </w:r>
            <w:proofErr w:type="spellEnd"/>
            <w:r>
              <w:rPr>
                <w:sz w:val="14"/>
                <w:szCs w:val="14"/>
              </w:rPr>
              <w:t xml:space="preserve"> i inne odpady zawierające rtęć</w:t>
            </w:r>
          </w:p>
        </w:tc>
        <w:tc>
          <w:tcPr>
            <w:tcW w:w="2126" w:type="dxa"/>
          </w:tcPr>
          <w:p w:rsidR="007E451D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</w:tr>
      <w:tr w:rsidR="007E451D" w:rsidRPr="00A55741" w:rsidTr="007E451D">
        <w:trPr>
          <w:trHeight w:val="490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 xml:space="preserve">20 01 23 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Urządzenia zawierające freony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2,004</w:t>
            </w:r>
          </w:p>
        </w:tc>
      </w:tr>
      <w:tr w:rsidR="007E451D" w:rsidRPr="00A55741" w:rsidTr="007E451D">
        <w:trPr>
          <w:trHeight w:val="413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Zużyte urządzenia elektryczne i elektroniczne inne  niż wymienione    w 20 01 21 i 20 01 23 zawierające niebezpieczne składniki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6,630</w:t>
            </w:r>
          </w:p>
        </w:tc>
      </w:tr>
      <w:tr w:rsidR="007E451D" w:rsidRPr="00A55741" w:rsidTr="007E451D">
        <w:trPr>
          <w:trHeight w:val="387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20 01 36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 xml:space="preserve">Zużyte urządzenia elektryczne i elektroniczne inne  niż wymienione   </w:t>
            </w:r>
            <w:r w:rsidRPr="00F103E1">
              <w:rPr>
                <w:sz w:val="10"/>
                <w:szCs w:val="10"/>
              </w:rPr>
              <w:t>w 20 01 21, 20 01 23 i 20 01 35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1,066</w:t>
            </w:r>
          </w:p>
        </w:tc>
      </w:tr>
      <w:tr w:rsidR="007E451D" w:rsidRPr="00A55741" w:rsidTr="007E451D">
        <w:trPr>
          <w:trHeight w:val="409"/>
        </w:trPr>
        <w:tc>
          <w:tcPr>
            <w:tcW w:w="2410" w:type="dxa"/>
            <w:vAlign w:val="center"/>
          </w:tcPr>
          <w:p w:rsidR="007E451D" w:rsidRPr="00D42AD6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AD6">
              <w:rPr>
                <w:sz w:val="20"/>
                <w:szCs w:val="20"/>
              </w:rPr>
              <w:t>20 01 39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Tworzywa sztuczne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2,280</w:t>
            </w:r>
          </w:p>
        </w:tc>
      </w:tr>
      <w:tr w:rsidR="007E451D" w:rsidRPr="00A55741" w:rsidTr="007E451D">
        <w:trPr>
          <w:trHeight w:val="566"/>
        </w:trPr>
        <w:tc>
          <w:tcPr>
            <w:tcW w:w="2410" w:type="dxa"/>
            <w:vAlign w:val="center"/>
          </w:tcPr>
          <w:p w:rsidR="007E451D" w:rsidRPr="00D42AD6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I</w:t>
            </w:r>
            <w:r w:rsidRPr="003643AA">
              <w:rPr>
                <w:sz w:val="16"/>
                <w:szCs w:val="16"/>
              </w:rPr>
              <w:t>nne  niewymienione  frakcje  zbierane w sposób selektywny</w:t>
            </w:r>
          </w:p>
        </w:tc>
        <w:tc>
          <w:tcPr>
            <w:tcW w:w="2126" w:type="dxa"/>
          </w:tcPr>
          <w:p w:rsidR="007E451D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67,020</w:t>
            </w:r>
          </w:p>
        </w:tc>
      </w:tr>
      <w:tr w:rsidR="007E451D" w:rsidRPr="00A55741" w:rsidTr="007E451D">
        <w:trPr>
          <w:trHeight w:val="401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20 02 01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ulegające biodegradacji</w:t>
            </w:r>
          </w:p>
        </w:tc>
        <w:tc>
          <w:tcPr>
            <w:tcW w:w="2126" w:type="dxa"/>
          </w:tcPr>
          <w:p w:rsidR="007E451D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281,800</w:t>
            </w:r>
          </w:p>
        </w:tc>
      </w:tr>
      <w:tr w:rsidR="007E451D" w:rsidRPr="00A55741" w:rsidTr="007E451D">
        <w:trPr>
          <w:trHeight w:val="300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20 03 07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Odpady wielkogabarytowe</w:t>
            </w:r>
          </w:p>
        </w:tc>
        <w:tc>
          <w:tcPr>
            <w:tcW w:w="2126" w:type="dxa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129,080</w:t>
            </w:r>
          </w:p>
        </w:tc>
      </w:tr>
      <w:tr w:rsidR="007E451D" w:rsidRPr="00A55741" w:rsidTr="007E451D">
        <w:trPr>
          <w:trHeight w:val="300"/>
        </w:trPr>
        <w:tc>
          <w:tcPr>
            <w:tcW w:w="2410" w:type="dxa"/>
            <w:vAlign w:val="center"/>
          </w:tcPr>
          <w:p w:rsidR="007E451D" w:rsidRPr="00A55741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4395" w:type="dxa"/>
            <w:vAlign w:val="center"/>
          </w:tcPr>
          <w:p w:rsidR="007E451D" w:rsidRPr="006F6BF9" w:rsidRDefault="007E451D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Odpady komunalne  niewymienione w innych podgrupach</w:t>
            </w:r>
          </w:p>
        </w:tc>
        <w:tc>
          <w:tcPr>
            <w:tcW w:w="2126" w:type="dxa"/>
          </w:tcPr>
          <w:p w:rsidR="007E451D" w:rsidRDefault="007E451D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131,800</w:t>
            </w:r>
          </w:p>
        </w:tc>
      </w:tr>
      <w:tr w:rsidR="0027574F" w:rsidRPr="00A55741" w:rsidTr="007E451D">
        <w:trPr>
          <w:trHeight w:val="300"/>
        </w:trPr>
        <w:tc>
          <w:tcPr>
            <w:tcW w:w="2410" w:type="dxa"/>
            <w:vAlign w:val="center"/>
          </w:tcPr>
          <w:p w:rsidR="0027574F" w:rsidRDefault="0027574F" w:rsidP="007E451D">
            <w:pPr>
              <w:jc w:val="center"/>
              <w:rPr>
                <w:sz w:val="20"/>
                <w:szCs w:val="20"/>
              </w:rPr>
            </w:pPr>
            <w:r w:rsidRPr="00A55741">
              <w:rPr>
                <w:sz w:val="20"/>
                <w:szCs w:val="20"/>
              </w:rPr>
              <w:t>20 01 32</w:t>
            </w:r>
          </w:p>
        </w:tc>
        <w:tc>
          <w:tcPr>
            <w:tcW w:w="4395" w:type="dxa"/>
            <w:vAlign w:val="center"/>
          </w:tcPr>
          <w:p w:rsidR="0027574F" w:rsidRDefault="0027574F" w:rsidP="007E451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6BF9">
              <w:rPr>
                <w:sz w:val="14"/>
                <w:szCs w:val="14"/>
              </w:rPr>
              <w:t>Leki inne niż wymienione  w 200131</w:t>
            </w:r>
          </w:p>
        </w:tc>
        <w:tc>
          <w:tcPr>
            <w:tcW w:w="2126" w:type="dxa"/>
          </w:tcPr>
          <w:p w:rsidR="0027574F" w:rsidRDefault="0027574F" w:rsidP="007E4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0,240</w:t>
            </w:r>
          </w:p>
        </w:tc>
      </w:tr>
    </w:tbl>
    <w:p w:rsidR="007E451D" w:rsidRPr="003A5AB5" w:rsidRDefault="007E451D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Pr="001540D3">
        <w:rPr>
          <w:i/>
          <w:sz w:val="16"/>
          <w:szCs w:val="16"/>
        </w:rPr>
        <w:t>ze sprawozdań</w:t>
      </w:r>
      <w:r>
        <w:rPr>
          <w:i/>
          <w:sz w:val="16"/>
          <w:szCs w:val="16"/>
        </w:rPr>
        <w:t xml:space="preserve"> składanych przez podmiot prowadzący PSZOK</w:t>
      </w:r>
    </w:p>
    <w:p w:rsidR="005729AA" w:rsidRPr="00F16151" w:rsidRDefault="005729AA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729AA" w:rsidRPr="00A1647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1647A">
        <w:rPr>
          <w:rFonts w:ascii="Times New Roman" w:hAnsi="Times New Roman" w:cs="Times New Roman"/>
          <w:b/>
        </w:rPr>
        <w:t>Ilości zmieszanych odpadów komunalnych, odpadów zielonych odbieranych z terenu gminy oraz powstających z przetwarzania odpadów komunalnych pozostałości z sortowania                   i pozostałości z mechaniczno-biologicznego przetwarzania odpadów komunalnych przeznaczonych do składowania.</w:t>
      </w:r>
    </w:p>
    <w:p w:rsidR="005729AA" w:rsidRPr="00A1647A" w:rsidRDefault="005729AA" w:rsidP="005729AA">
      <w:pPr>
        <w:pStyle w:val="Default"/>
        <w:rPr>
          <w:color w:val="auto"/>
          <w:sz w:val="22"/>
          <w:szCs w:val="22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5729AA" w:rsidRPr="00F103E1" w:rsidRDefault="00A31ACD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2016</w:t>
      </w:r>
      <w:r w:rsidR="005729AA" w:rsidRPr="00F103E1">
        <w:rPr>
          <w:rFonts w:ascii="Times New Roman" w:hAnsi="Times New Roman" w:cs="Times New Roman"/>
        </w:rPr>
        <w:t xml:space="preserve"> roku</w:t>
      </w:r>
      <w:r w:rsidR="005729AA">
        <w:rPr>
          <w:rFonts w:ascii="Times New Roman" w:hAnsi="Times New Roman" w:cs="Times New Roman"/>
        </w:rPr>
        <w:t xml:space="preserve"> z odebranych</w:t>
      </w:r>
      <w:r>
        <w:rPr>
          <w:rFonts w:ascii="Times New Roman" w:hAnsi="Times New Roman" w:cs="Times New Roman"/>
        </w:rPr>
        <w:t xml:space="preserve"> i zebranych</w:t>
      </w:r>
      <w:r w:rsidR="005729AA">
        <w:rPr>
          <w:rFonts w:ascii="Times New Roman" w:hAnsi="Times New Roman" w:cs="Times New Roman"/>
        </w:rPr>
        <w:t xml:space="preserve"> odpadów komunalnych z terenu gminy Suszec</w:t>
      </w:r>
      <w:r w:rsidR="005729AA" w:rsidRPr="00F103E1">
        <w:rPr>
          <w:rFonts w:ascii="Times New Roman" w:hAnsi="Times New Roman" w:cs="Times New Roman"/>
        </w:rPr>
        <w:t xml:space="preserve">  </w:t>
      </w:r>
      <w:r w:rsidR="0027574F">
        <w:rPr>
          <w:rFonts w:ascii="Times New Roman" w:hAnsi="Times New Roman" w:cs="Times New Roman"/>
        </w:rPr>
        <w:t xml:space="preserve">                        </w:t>
      </w:r>
      <w:r w:rsidR="005729AA" w:rsidRPr="00F103E1">
        <w:rPr>
          <w:rFonts w:ascii="Times New Roman" w:hAnsi="Times New Roman" w:cs="Times New Roman"/>
        </w:rPr>
        <w:t xml:space="preserve">do składowania  przeznaczono  pozostałości </w:t>
      </w:r>
      <w:r w:rsidR="005729AA">
        <w:rPr>
          <w:rFonts w:ascii="Times New Roman" w:hAnsi="Times New Roman" w:cs="Times New Roman"/>
        </w:rPr>
        <w:t xml:space="preserve">z sortowania i pozostałości   </w:t>
      </w:r>
      <w:r w:rsidR="005729AA" w:rsidRPr="00F103E1">
        <w:rPr>
          <w:rFonts w:ascii="Times New Roman" w:hAnsi="Times New Roman" w:cs="Times New Roman"/>
        </w:rPr>
        <w:t>z mechaniczno-biologicznego przetwarzania</w:t>
      </w:r>
      <w:r w:rsidR="005729AA">
        <w:rPr>
          <w:rFonts w:ascii="Times New Roman" w:hAnsi="Times New Roman" w:cs="Times New Roman"/>
        </w:rPr>
        <w:t xml:space="preserve"> odpadów komunalnych w ilości</w:t>
      </w:r>
      <w:r w:rsidR="005729AA" w:rsidRPr="00F10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498,805</w:t>
      </w:r>
      <w:r w:rsidR="005729AA" w:rsidRPr="00F103E1">
        <w:rPr>
          <w:rFonts w:ascii="Times New Roman" w:hAnsi="Times New Roman" w:cs="Times New Roman"/>
        </w:rPr>
        <w:t xml:space="preserve"> Mg</w:t>
      </w:r>
      <w:r w:rsidR="005729AA">
        <w:rPr>
          <w:rFonts w:ascii="Times New Roman" w:hAnsi="Times New Roman" w:cs="Times New Roman"/>
        </w:rPr>
        <w:t>.</w:t>
      </w:r>
      <w:r w:rsidR="005729AA" w:rsidRPr="00F103E1">
        <w:rPr>
          <w:rFonts w:ascii="Times New Roman" w:hAnsi="Times New Roman" w:cs="Times New Roman"/>
        </w:rPr>
        <w:t xml:space="preserve">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Pr="00F103E1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6151" w:rsidRDefault="00F1615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6151" w:rsidSect="00BE755F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02D6"/>
    <w:rsid w:val="000009E5"/>
    <w:rsid w:val="0000373F"/>
    <w:rsid w:val="00030575"/>
    <w:rsid w:val="00043BB4"/>
    <w:rsid w:val="0008565E"/>
    <w:rsid w:val="000D4861"/>
    <w:rsid w:val="000E766C"/>
    <w:rsid w:val="000F429A"/>
    <w:rsid w:val="000F5DEB"/>
    <w:rsid w:val="00115F09"/>
    <w:rsid w:val="001223DA"/>
    <w:rsid w:val="00130666"/>
    <w:rsid w:val="00133B39"/>
    <w:rsid w:val="00153635"/>
    <w:rsid w:val="001540D3"/>
    <w:rsid w:val="00177DB3"/>
    <w:rsid w:val="001E4844"/>
    <w:rsid w:val="001F01DA"/>
    <w:rsid w:val="00205D9F"/>
    <w:rsid w:val="00217B5B"/>
    <w:rsid w:val="00230D21"/>
    <w:rsid w:val="0023299A"/>
    <w:rsid w:val="00233E2A"/>
    <w:rsid w:val="00247700"/>
    <w:rsid w:val="002728D1"/>
    <w:rsid w:val="0027574F"/>
    <w:rsid w:val="002A476A"/>
    <w:rsid w:val="002A5741"/>
    <w:rsid w:val="002B691E"/>
    <w:rsid w:val="00335977"/>
    <w:rsid w:val="00353331"/>
    <w:rsid w:val="003658B5"/>
    <w:rsid w:val="00367915"/>
    <w:rsid w:val="00382C99"/>
    <w:rsid w:val="003A5AB5"/>
    <w:rsid w:val="003B3CA1"/>
    <w:rsid w:val="003D4712"/>
    <w:rsid w:val="003E4DC2"/>
    <w:rsid w:val="00411BA7"/>
    <w:rsid w:val="00427B2B"/>
    <w:rsid w:val="0044038C"/>
    <w:rsid w:val="00450929"/>
    <w:rsid w:val="004704D0"/>
    <w:rsid w:val="004936E7"/>
    <w:rsid w:val="004A0A98"/>
    <w:rsid w:val="004A7DBC"/>
    <w:rsid w:val="004C22C7"/>
    <w:rsid w:val="00523562"/>
    <w:rsid w:val="00554813"/>
    <w:rsid w:val="005729AA"/>
    <w:rsid w:val="0059275D"/>
    <w:rsid w:val="005B23E1"/>
    <w:rsid w:val="005B5CD9"/>
    <w:rsid w:val="005D0B10"/>
    <w:rsid w:val="005E151A"/>
    <w:rsid w:val="005F202D"/>
    <w:rsid w:val="005F3DE8"/>
    <w:rsid w:val="00625F33"/>
    <w:rsid w:val="00631C8F"/>
    <w:rsid w:val="00640D0F"/>
    <w:rsid w:val="00655BA6"/>
    <w:rsid w:val="00664BBF"/>
    <w:rsid w:val="00694704"/>
    <w:rsid w:val="00695888"/>
    <w:rsid w:val="006B27B4"/>
    <w:rsid w:val="00704F6F"/>
    <w:rsid w:val="007116B6"/>
    <w:rsid w:val="00720941"/>
    <w:rsid w:val="0073655A"/>
    <w:rsid w:val="00786BFD"/>
    <w:rsid w:val="007A6675"/>
    <w:rsid w:val="007B7418"/>
    <w:rsid w:val="007E451D"/>
    <w:rsid w:val="007F7ADE"/>
    <w:rsid w:val="007F7C48"/>
    <w:rsid w:val="0081120D"/>
    <w:rsid w:val="008259D2"/>
    <w:rsid w:val="00876495"/>
    <w:rsid w:val="00892C8C"/>
    <w:rsid w:val="008C118C"/>
    <w:rsid w:val="008C2B92"/>
    <w:rsid w:val="008D28F6"/>
    <w:rsid w:val="008D4E52"/>
    <w:rsid w:val="008F37B8"/>
    <w:rsid w:val="0090624C"/>
    <w:rsid w:val="00913E94"/>
    <w:rsid w:val="009148D4"/>
    <w:rsid w:val="00931EA3"/>
    <w:rsid w:val="009352D1"/>
    <w:rsid w:val="00943621"/>
    <w:rsid w:val="0094364E"/>
    <w:rsid w:val="00955D1C"/>
    <w:rsid w:val="0096127B"/>
    <w:rsid w:val="0098288E"/>
    <w:rsid w:val="00985B40"/>
    <w:rsid w:val="0099346B"/>
    <w:rsid w:val="009967F5"/>
    <w:rsid w:val="009A1B53"/>
    <w:rsid w:val="009C330E"/>
    <w:rsid w:val="00A0085D"/>
    <w:rsid w:val="00A1647A"/>
    <w:rsid w:val="00A31ACD"/>
    <w:rsid w:val="00A3693A"/>
    <w:rsid w:val="00A81463"/>
    <w:rsid w:val="00A96F6E"/>
    <w:rsid w:val="00AA4FD9"/>
    <w:rsid w:val="00AF5BC6"/>
    <w:rsid w:val="00AF61A4"/>
    <w:rsid w:val="00B05509"/>
    <w:rsid w:val="00B3144E"/>
    <w:rsid w:val="00B4485B"/>
    <w:rsid w:val="00B513F1"/>
    <w:rsid w:val="00B673E6"/>
    <w:rsid w:val="00B70B14"/>
    <w:rsid w:val="00B905FE"/>
    <w:rsid w:val="00BB30D8"/>
    <w:rsid w:val="00BB624C"/>
    <w:rsid w:val="00BC476A"/>
    <w:rsid w:val="00BD0486"/>
    <w:rsid w:val="00BE755F"/>
    <w:rsid w:val="00C6541B"/>
    <w:rsid w:val="00C86E4C"/>
    <w:rsid w:val="00CB7BB8"/>
    <w:rsid w:val="00CF102A"/>
    <w:rsid w:val="00D13F6F"/>
    <w:rsid w:val="00D805C9"/>
    <w:rsid w:val="00DA2EAB"/>
    <w:rsid w:val="00DB395B"/>
    <w:rsid w:val="00DD0B84"/>
    <w:rsid w:val="00DD6077"/>
    <w:rsid w:val="00E055D6"/>
    <w:rsid w:val="00E12D69"/>
    <w:rsid w:val="00E5787B"/>
    <w:rsid w:val="00EA0960"/>
    <w:rsid w:val="00EC6A5D"/>
    <w:rsid w:val="00F103E1"/>
    <w:rsid w:val="00F16151"/>
    <w:rsid w:val="00F56F47"/>
    <w:rsid w:val="00F75066"/>
    <w:rsid w:val="00F82027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11</cp:revision>
  <cp:lastPrinted>2017-05-19T09:56:00Z</cp:lastPrinted>
  <dcterms:created xsi:type="dcterms:W3CDTF">2017-05-05T09:50:00Z</dcterms:created>
  <dcterms:modified xsi:type="dcterms:W3CDTF">2017-06-19T10:33:00Z</dcterms:modified>
</cp:coreProperties>
</file>