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Default="00486DE4" w:rsidP="00486DE4">
      <w:pPr>
        <w:pStyle w:val="Legenda"/>
        <w:jc w:val="center"/>
        <w:rPr>
          <w:rFonts w:asciiTheme="minorHAnsi" w:hAnsiTheme="minorHAnsi" w:cstheme="minorHAnsi"/>
          <w:b/>
          <w:sz w:val="36"/>
          <w:szCs w:val="36"/>
        </w:rPr>
      </w:pPr>
    </w:p>
    <w:p w:rsidR="00486DE4" w:rsidRPr="002316AB" w:rsidRDefault="00486DE4" w:rsidP="00486DE4">
      <w:pPr>
        <w:pStyle w:val="Legenda"/>
        <w:jc w:val="center"/>
        <w:rPr>
          <w:rFonts w:asciiTheme="minorHAnsi" w:hAnsiTheme="minorHAnsi" w:cstheme="minorHAnsi"/>
          <w:b/>
          <w:sz w:val="36"/>
          <w:szCs w:val="36"/>
        </w:rPr>
      </w:pPr>
      <w:r w:rsidRPr="002316AB">
        <w:rPr>
          <w:rFonts w:asciiTheme="minorHAnsi" w:hAnsiTheme="minorHAnsi" w:cstheme="minorHAnsi"/>
          <w:b/>
          <w:sz w:val="36"/>
          <w:szCs w:val="36"/>
        </w:rPr>
        <w:t>SPECYFIKACJA TECHNICZNA WYKONANIA I ODBIORU ROBÓT</w:t>
      </w:r>
    </w:p>
    <w:p w:rsidR="00486DE4" w:rsidRDefault="00486DE4" w:rsidP="00486DE4">
      <w:pPr>
        <w:pStyle w:val="Legenda"/>
        <w:jc w:val="center"/>
        <w:rPr>
          <w:rFonts w:asciiTheme="minorHAnsi" w:hAnsiTheme="minorHAnsi" w:cstheme="minorHAnsi"/>
          <w:sz w:val="36"/>
          <w:szCs w:val="36"/>
        </w:rPr>
      </w:pPr>
      <w:r w:rsidRPr="002316AB">
        <w:rPr>
          <w:rFonts w:asciiTheme="minorHAnsi" w:hAnsiTheme="minorHAnsi" w:cstheme="minorHAnsi"/>
          <w:sz w:val="36"/>
          <w:szCs w:val="36"/>
        </w:rPr>
        <w:t>D-0</w:t>
      </w:r>
      <w:r>
        <w:rPr>
          <w:rFonts w:asciiTheme="minorHAnsi" w:hAnsiTheme="minorHAnsi" w:cstheme="minorHAnsi"/>
          <w:sz w:val="36"/>
          <w:szCs w:val="36"/>
        </w:rPr>
        <w:t>4</w:t>
      </w:r>
      <w:r w:rsidRPr="002316AB">
        <w:rPr>
          <w:rFonts w:asciiTheme="minorHAnsi" w:hAnsiTheme="minorHAnsi" w:cstheme="minorHAnsi"/>
          <w:sz w:val="36"/>
          <w:szCs w:val="36"/>
        </w:rPr>
        <w:t>.0</w:t>
      </w:r>
      <w:r>
        <w:rPr>
          <w:rFonts w:asciiTheme="minorHAnsi" w:hAnsiTheme="minorHAnsi" w:cstheme="minorHAnsi"/>
          <w:sz w:val="36"/>
          <w:szCs w:val="36"/>
        </w:rPr>
        <w:t>4</w:t>
      </w:r>
      <w:r w:rsidRPr="002316AB">
        <w:rPr>
          <w:rFonts w:asciiTheme="minorHAnsi" w:hAnsiTheme="minorHAnsi" w:cstheme="minorHAnsi"/>
          <w:sz w:val="36"/>
          <w:szCs w:val="36"/>
        </w:rPr>
        <w:t>.0</w:t>
      </w:r>
      <w:r>
        <w:rPr>
          <w:rFonts w:asciiTheme="minorHAnsi" w:hAnsiTheme="minorHAnsi" w:cstheme="minorHAnsi"/>
          <w:sz w:val="36"/>
          <w:szCs w:val="36"/>
        </w:rPr>
        <w:t>2</w:t>
      </w:r>
      <w:r w:rsidRPr="002316AB">
        <w:rPr>
          <w:rFonts w:asciiTheme="minorHAnsi" w:hAnsiTheme="minorHAnsi" w:cstheme="minorHAnsi"/>
          <w:sz w:val="36"/>
          <w:szCs w:val="36"/>
        </w:rPr>
        <w:t xml:space="preserve"> </w:t>
      </w:r>
      <w:r>
        <w:rPr>
          <w:rFonts w:asciiTheme="minorHAnsi" w:hAnsiTheme="minorHAnsi" w:cstheme="minorHAnsi"/>
          <w:sz w:val="36"/>
          <w:szCs w:val="36"/>
        </w:rPr>
        <w:t xml:space="preserve">Podbudowa z kruszywa łamanego stabilizowanego mechanicznie </w:t>
      </w:r>
    </w:p>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Default="00486DE4" w:rsidP="00486DE4"/>
    <w:p w:rsidR="00486DE4" w:rsidRPr="002D0C4C" w:rsidRDefault="00486DE4" w:rsidP="00486DE4">
      <w:pPr>
        <w:pStyle w:val="Nagwek1"/>
        <w:numPr>
          <w:ilvl w:val="0"/>
          <w:numId w:val="7"/>
        </w:numPr>
        <w:rPr>
          <w:rFonts w:asciiTheme="minorHAnsi" w:hAnsiTheme="minorHAnsi" w:cstheme="minorHAnsi"/>
        </w:rPr>
      </w:pPr>
      <w:r w:rsidRPr="002D0C4C">
        <w:rPr>
          <w:rFonts w:asciiTheme="minorHAnsi" w:hAnsiTheme="minorHAnsi" w:cstheme="minorHAnsi"/>
        </w:rPr>
        <w:lastRenderedPageBreak/>
        <w:t>Wstęp</w:t>
      </w:r>
    </w:p>
    <w:p w:rsidR="00486DE4" w:rsidRPr="00EA3711" w:rsidRDefault="00486DE4" w:rsidP="00486DE4"/>
    <w:p w:rsidR="00486DE4" w:rsidRPr="004B7E1B" w:rsidRDefault="00486DE4" w:rsidP="00486DE4">
      <w:pPr>
        <w:pStyle w:val="Nagwek2"/>
        <w:rPr>
          <w:rFonts w:asciiTheme="minorHAnsi" w:hAnsiTheme="minorHAnsi" w:cstheme="minorHAnsi"/>
          <w:u w:val="single"/>
        </w:rPr>
      </w:pPr>
      <w:r w:rsidRPr="004B7E1B">
        <w:rPr>
          <w:rFonts w:asciiTheme="minorHAnsi" w:hAnsiTheme="minorHAnsi" w:cstheme="minorHAnsi"/>
          <w:u w:val="single"/>
        </w:rPr>
        <w:t>Przedmiot Specyfikacji Technicznej</w:t>
      </w:r>
    </w:p>
    <w:p w:rsidR="004B5F63" w:rsidRDefault="00144271" w:rsidP="004B5F63">
      <w:pPr>
        <w:pStyle w:val="Nagwek2"/>
        <w:numPr>
          <w:ilvl w:val="0"/>
          <w:numId w:val="0"/>
        </w:numPr>
        <w:tabs>
          <w:tab w:val="left" w:pos="-720"/>
        </w:tabs>
        <w:spacing w:line="240" w:lineRule="auto"/>
        <w:ind w:left="576"/>
        <w:rPr>
          <w:rFonts w:asciiTheme="minorHAnsi" w:hAnsiTheme="minorHAnsi" w:cstheme="minorHAnsi"/>
          <w:sz w:val="24"/>
          <w:szCs w:val="24"/>
        </w:rPr>
      </w:pPr>
      <w:r w:rsidRPr="00144271">
        <w:rPr>
          <w:rFonts w:asciiTheme="minorHAnsi" w:hAnsiTheme="minorHAnsi" w:cstheme="minorHAnsi"/>
          <w:sz w:val="24"/>
        </w:rPr>
        <w:t xml:space="preserve">Przedmiotem niniejszej Specyfikacji Technicznej są wymagania dotyczące wykonania </w:t>
      </w:r>
      <w:r w:rsidRPr="00144271">
        <w:rPr>
          <w:rFonts w:asciiTheme="minorHAnsi" w:hAnsiTheme="minorHAnsi" w:cstheme="minorHAnsi"/>
          <w:sz w:val="24"/>
        </w:rPr>
        <w:br/>
        <w:t xml:space="preserve">i odbioru robót związanych z wykonaniem podbudowy z kruszywa łamanego stabilizowanego mechanicznie w </w:t>
      </w:r>
      <w:r w:rsidRPr="00144271">
        <w:rPr>
          <w:rFonts w:asciiTheme="minorHAnsi" w:hAnsiTheme="minorHAnsi" w:cstheme="minorHAnsi"/>
          <w:sz w:val="24"/>
          <w:szCs w:val="24"/>
        </w:rPr>
        <w:t xml:space="preserve">związku </w:t>
      </w:r>
      <w:r w:rsidR="004B5F63">
        <w:rPr>
          <w:rFonts w:asciiTheme="minorHAnsi" w:hAnsiTheme="minorHAnsi" w:cstheme="minorHAnsi"/>
          <w:snapToGrid w:val="0"/>
          <w:sz w:val="24"/>
          <w:szCs w:val="24"/>
        </w:rPr>
        <w:t>z</w:t>
      </w:r>
      <w:r w:rsidR="004B5F63">
        <w:rPr>
          <w:rFonts w:asciiTheme="minorHAnsi" w:hAnsiTheme="minorHAnsi" w:cstheme="minorHAnsi"/>
          <w:sz w:val="24"/>
          <w:szCs w:val="24"/>
        </w:rPr>
        <w:t xml:space="preserve"> </w:t>
      </w:r>
      <w:r w:rsidR="004B5F63">
        <w:rPr>
          <w:rFonts w:ascii="Calibri" w:hAnsi="Calibri" w:cs="Calibri"/>
          <w:sz w:val="24"/>
          <w:szCs w:val="24"/>
        </w:rPr>
        <w:t>przebudow</w:t>
      </w:r>
      <w:r w:rsidR="004B5F63">
        <w:rPr>
          <w:rFonts w:asciiTheme="minorHAnsi" w:hAnsiTheme="minorHAnsi" w:cstheme="minorHAnsi"/>
          <w:sz w:val="24"/>
          <w:szCs w:val="24"/>
        </w:rPr>
        <w:t xml:space="preserve">ą </w:t>
      </w:r>
      <w:r w:rsidR="004B5F63">
        <w:rPr>
          <w:rFonts w:ascii="Calibri" w:hAnsi="Calibri" w:cs="Calibri"/>
          <w:sz w:val="24"/>
          <w:szCs w:val="24"/>
        </w:rPr>
        <w:t>ulicy Cichej w Suszcu na odcinku o długości około 180 mb”</w:t>
      </w:r>
    </w:p>
    <w:p w:rsidR="00486DE4" w:rsidRPr="00144271" w:rsidRDefault="00486DE4" w:rsidP="00486DE4">
      <w:pPr>
        <w:pStyle w:val="Nagwek2"/>
        <w:numPr>
          <w:ilvl w:val="0"/>
          <w:numId w:val="0"/>
        </w:numPr>
        <w:tabs>
          <w:tab w:val="left" w:pos="-720"/>
        </w:tabs>
        <w:spacing w:line="240" w:lineRule="auto"/>
        <w:ind w:left="576"/>
        <w:rPr>
          <w:rFonts w:asciiTheme="minorHAnsi" w:hAnsiTheme="minorHAnsi" w:cstheme="minorHAnsi"/>
          <w:bCs/>
          <w:sz w:val="24"/>
          <w:szCs w:val="24"/>
        </w:rPr>
      </w:pPr>
    </w:p>
    <w:p w:rsidR="00486DE4" w:rsidRPr="001274AE" w:rsidRDefault="00486DE4" w:rsidP="00486DE4">
      <w:pPr>
        <w:rPr>
          <w:rFonts w:asciiTheme="minorHAnsi" w:hAnsiTheme="minorHAnsi" w:cstheme="minorHAnsi"/>
        </w:rPr>
      </w:pPr>
    </w:p>
    <w:p w:rsidR="00486DE4" w:rsidRPr="004B7E1B" w:rsidRDefault="00486DE4" w:rsidP="00486DE4">
      <w:pPr>
        <w:pStyle w:val="Nagwek2"/>
        <w:rPr>
          <w:rFonts w:asciiTheme="minorHAnsi" w:hAnsiTheme="minorHAnsi" w:cstheme="minorHAnsi"/>
          <w:u w:val="single"/>
        </w:rPr>
      </w:pPr>
      <w:r w:rsidRPr="004B7E1B">
        <w:rPr>
          <w:rFonts w:asciiTheme="minorHAnsi" w:hAnsiTheme="minorHAnsi" w:cstheme="minorHAnsi"/>
          <w:u w:val="single"/>
        </w:rPr>
        <w:t xml:space="preserve"> Zakres stosowania Specyfikacji Technicznej</w:t>
      </w:r>
    </w:p>
    <w:p w:rsidR="00486DE4"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274AE">
        <w:rPr>
          <w:rFonts w:asciiTheme="minorHAnsi" w:hAnsiTheme="minorHAnsi" w:cstheme="minorHAnsi"/>
          <w:spacing w:val="-3"/>
          <w:sz w:val="24"/>
          <w:szCs w:val="24"/>
        </w:rPr>
        <w:t xml:space="preserve">Specyfikacje Techniczne stanowią część Dokumentów Przetargowych i Kontraktowych </w:t>
      </w:r>
      <w:r w:rsidRPr="001274AE">
        <w:rPr>
          <w:rFonts w:asciiTheme="minorHAnsi" w:hAnsiTheme="minorHAnsi" w:cstheme="minorHAnsi"/>
          <w:spacing w:val="-3"/>
          <w:sz w:val="24"/>
          <w:szCs w:val="24"/>
        </w:rPr>
        <w:br/>
        <w:t>i należy je stosowa</w:t>
      </w:r>
      <w:r w:rsidRPr="001274AE">
        <w:rPr>
          <w:rFonts w:asciiTheme="minorHAnsi" w:hAnsiTheme="minorHAnsi" w:cstheme="minorHAnsi"/>
          <w:spacing w:val="-3"/>
          <w:sz w:val="24"/>
          <w:szCs w:val="24"/>
        </w:rPr>
        <w:sym w:font="Times New Roman" w:char="0107"/>
      </w:r>
      <w:r w:rsidRPr="001274AE">
        <w:rPr>
          <w:rFonts w:asciiTheme="minorHAnsi" w:hAnsiTheme="minorHAnsi" w:cstheme="minorHAnsi"/>
          <w:spacing w:val="-3"/>
          <w:sz w:val="24"/>
          <w:szCs w:val="24"/>
        </w:rPr>
        <w:t xml:space="preserve"> w zlecaniu i wykonaniu Robót opisanych w podpunkcie 1.1 . </w:t>
      </w:r>
    </w:p>
    <w:p w:rsidR="00486DE4" w:rsidRPr="003375B4" w:rsidRDefault="00486DE4" w:rsidP="00486DE4"/>
    <w:p w:rsidR="00486DE4" w:rsidRPr="00D21C84" w:rsidRDefault="00486DE4" w:rsidP="00486DE4">
      <w:pPr>
        <w:pStyle w:val="Nagwek2"/>
        <w:rPr>
          <w:rFonts w:asciiTheme="minorHAnsi" w:hAnsiTheme="minorHAnsi" w:cstheme="minorHAnsi"/>
          <w:u w:val="single"/>
        </w:rPr>
      </w:pPr>
      <w:bookmarkStart w:id="0" w:name="_Toc405704475"/>
      <w:bookmarkStart w:id="1" w:name="_Toc405780136"/>
      <w:bookmarkStart w:id="2" w:name="_Toc406295848"/>
      <w:bookmarkStart w:id="3" w:name="_Toc406913837"/>
      <w:bookmarkStart w:id="4" w:name="_Toc406914082"/>
      <w:bookmarkStart w:id="5" w:name="_Toc406914740"/>
      <w:bookmarkStart w:id="6" w:name="_Toc406915318"/>
      <w:bookmarkStart w:id="7" w:name="_Toc406984011"/>
      <w:bookmarkStart w:id="8" w:name="_Toc406984158"/>
      <w:bookmarkStart w:id="9" w:name="_Toc406984349"/>
      <w:bookmarkStart w:id="10" w:name="_Toc407069557"/>
      <w:bookmarkStart w:id="11" w:name="_Toc407081522"/>
      <w:bookmarkStart w:id="12" w:name="_Toc407083321"/>
      <w:bookmarkStart w:id="13" w:name="_Toc407084155"/>
      <w:bookmarkStart w:id="14" w:name="_Toc407085274"/>
      <w:bookmarkStart w:id="15" w:name="_Toc407085417"/>
      <w:bookmarkStart w:id="16" w:name="_Toc407085560"/>
      <w:bookmarkStart w:id="17" w:name="_Toc407086008"/>
      <w:r w:rsidRPr="00D21C84">
        <w:rPr>
          <w:rFonts w:asciiTheme="minorHAnsi" w:hAnsiTheme="minorHAnsi" w:cstheme="minorHAnsi"/>
          <w:u w:val="single"/>
        </w:rPr>
        <w:t>Zakres robót objętych ST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86DE4" w:rsidRDefault="00486DE4" w:rsidP="00486DE4"/>
    <w:p w:rsidR="00486DE4" w:rsidRPr="003375B4"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3375B4">
        <w:rPr>
          <w:rFonts w:asciiTheme="minorHAnsi" w:hAnsiTheme="minorHAnsi" w:cstheme="minorHAnsi"/>
          <w:spacing w:val="-3"/>
          <w:sz w:val="24"/>
          <w:szCs w:val="24"/>
        </w:rPr>
        <w:t>Ustalenia zawarte w niniejszej specyfikacji dotyczą zasad prowadzenia robót związanych z wykonaniem podbudowy z kruszywa łamanego o uziarnieniu 0/31,5 mm</w:t>
      </w:r>
      <w:r>
        <w:rPr>
          <w:rFonts w:asciiTheme="minorHAnsi" w:hAnsiTheme="minorHAnsi" w:cstheme="minorHAnsi"/>
          <w:spacing w:val="-3"/>
          <w:sz w:val="24"/>
          <w:szCs w:val="24"/>
        </w:rPr>
        <w:t xml:space="preserve"> i 31,5/63 mm</w:t>
      </w:r>
      <w:r w:rsidRPr="003375B4">
        <w:rPr>
          <w:rFonts w:asciiTheme="minorHAnsi" w:hAnsiTheme="minorHAnsi" w:cstheme="minorHAnsi"/>
          <w:spacing w:val="-3"/>
          <w:sz w:val="24"/>
          <w:szCs w:val="24"/>
        </w:rPr>
        <w:t xml:space="preserve"> stabilizowanego mechanicznie i obejmują:</w:t>
      </w:r>
    </w:p>
    <w:p w:rsidR="00486DE4" w:rsidRPr="003375B4"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486DE4" w:rsidRDefault="00486DE4" w:rsidP="00486DE4">
      <w:pPr>
        <w:pStyle w:val="Nagwek2"/>
        <w:numPr>
          <w:ilvl w:val="0"/>
          <w:numId w:val="6"/>
        </w:numPr>
        <w:tabs>
          <w:tab w:val="left" w:pos="-720"/>
        </w:tabs>
        <w:spacing w:line="240" w:lineRule="auto"/>
        <w:rPr>
          <w:rFonts w:asciiTheme="minorHAnsi" w:hAnsiTheme="minorHAnsi" w:cstheme="minorHAnsi"/>
          <w:spacing w:val="-3"/>
          <w:sz w:val="24"/>
          <w:szCs w:val="24"/>
        </w:rPr>
      </w:pPr>
      <w:r w:rsidRPr="003375B4">
        <w:rPr>
          <w:rFonts w:asciiTheme="minorHAnsi" w:hAnsiTheme="minorHAnsi" w:cstheme="minorHAnsi"/>
          <w:spacing w:val="-3"/>
          <w:sz w:val="24"/>
          <w:szCs w:val="24"/>
        </w:rPr>
        <w:t>wykonanie podbudowy</w:t>
      </w:r>
      <w:r>
        <w:rPr>
          <w:rFonts w:asciiTheme="minorHAnsi" w:hAnsiTheme="minorHAnsi" w:cstheme="minorHAnsi"/>
          <w:spacing w:val="-3"/>
          <w:sz w:val="24"/>
          <w:szCs w:val="24"/>
        </w:rPr>
        <w:t xml:space="preserve"> </w:t>
      </w:r>
      <w:r w:rsidRPr="003375B4">
        <w:rPr>
          <w:rFonts w:asciiTheme="minorHAnsi" w:hAnsiTheme="minorHAnsi" w:cstheme="minorHAnsi"/>
          <w:spacing w:val="-3"/>
          <w:sz w:val="24"/>
          <w:szCs w:val="24"/>
        </w:rPr>
        <w:t xml:space="preserve">grubości </w:t>
      </w:r>
      <w:r w:rsidR="00E74340">
        <w:rPr>
          <w:rFonts w:asciiTheme="minorHAnsi" w:hAnsiTheme="minorHAnsi" w:cstheme="minorHAnsi"/>
          <w:spacing w:val="-3"/>
          <w:sz w:val="24"/>
          <w:szCs w:val="24"/>
        </w:rPr>
        <w:t>1</w:t>
      </w:r>
      <w:r w:rsidRPr="003375B4">
        <w:rPr>
          <w:rFonts w:asciiTheme="minorHAnsi" w:hAnsiTheme="minorHAnsi" w:cstheme="minorHAnsi"/>
          <w:spacing w:val="-3"/>
          <w:sz w:val="24"/>
          <w:szCs w:val="24"/>
        </w:rPr>
        <w:t>0 cm (jezdnia główna</w:t>
      </w:r>
      <w:r w:rsidR="00FB5725">
        <w:rPr>
          <w:rFonts w:asciiTheme="minorHAnsi" w:hAnsiTheme="minorHAnsi" w:cstheme="minorHAnsi"/>
          <w:spacing w:val="-3"/>
          <w:sz w:val="24"/>
          <w:szCs w:val="24"/>
        </w:rPr>
        <w:t>)</w:t>
      </w:r>
      <w:r w:rsidRPr="003375B4">
        <w:rPr>
          <w:rFonts w:asciiTheme="minorHAnsi" w:hAnsiTheme="minorHAnsi" w:cstheme="minorHAnsi"/>
          <w:spacing w:val="-3"/>
          <w:sz w:val="24"/>
          <w:szCs w:val="24"/>
        </w:rPr>
        <w:t xml:space="preserve">  </w:t>
      </w:r>
    </w:p>
    <w:p w:rsidR="00486DE4" w:rsidRDefault="00486DE4" w:rsidP="00486DE4">
      <w:pPr>
        <w:pStyle w:val="Nagwek2"/>
        <w:numPr>
          <w:ilvl w:val="0"/>
          <w:numId w:val="6"/>
        </w:numPr>
        <w:tabs>
          <w:tab w:val="left" w:pos="-720"/>
        </w:tabs>
        <w:spacing w:line="240" w:lineRule="auto"/>
        <w:rPr>
          <w:rFonts w:asciiTheme="minorHAnsi" w:hAnsiTheme="minorHAnsi" w:cstheme="minorHAnsi"/>
          <w:spacing w:val="-3"/>
          <w:sz w:val="24"/>
          <w:szCs w:val="24"/>
        </w:rPr>
      </w:pPr>
      <w:r w:rsidRPr="003375B4">
        <w:rPr>
          <w:rFonts w:asciiTheme="minorHAnsi" w:hAnsiTheme="minorHAnsi" w:cstheme="minorHAnsi"/>
          <w:spacing w:val="-3"/>
          <w:sz w:val="24"/>
          <w:szCs w:val="24"/>
        </w:rPr>
        <w:t xml:space="preserve">wykonanie podbudowy grubości </w:t>
      </w:r>
      <w:r>
        <w:rPr>
          <w:rFonts w:asciiTheme="minorHAnsi" w:hAnsiTheme="minorHAnsi" w:cstheme="minorHAnsi"/>
          <w:spacing w:val="-3"/>
          <w:sz w:val="24"/>
          <w:szCs w:val="24"/>
        </w:rPr>
        <w:t>1</w:t>
      </w:r>
      <w:r w:rsidRPr="003375B4">
        <w:rPr>
          <w:rFonts w:asciiTheme="minorHAnsi" w:hAnsiTheme="minorHAnsi" w:cstheme="minorHAnsi"/>
          <w:spacing w:val="-3"/>
          <w:sz w:val="24"/>
          <w:szCs w:val="24"/>
        </w:rPr>
        <w:t>0 cm</w:t>
      </w:r>
      <w:r>
        <w:rPr>
          <w:rFonts w:asciiTheme="minorHAnsi" w:hAnsiTheme="minorHAnsi" w:cstheme="minorHAnsi"/>
          <w:spacing w:val="-3"/>
          <w:sz w:val="24"/>
          <w:szCs w:val="24"/>
        </w:rPr>
        <w:t xml:space="preserve"> (zjazdy indywidualne)</w:t>
      </w:r>
      <w:r w:rsidRPr="003375B4">
        <w:rPr>
          <w:rFonts w:asciiTheme="minorHAnsi" w:hAnsiTheme="minorHAnsi" w:cstheme="minorHAnsi"/>
          <w:spacing w:val="-3"/>
          <w:sz w:val="24"/>
          <w:szCs w:val="24"/>
        </w:rPr>
        <w:t xml:space="preserve">  </w:t>
      </w:r>
    </w:p>
    <w:p w:rsidR="00486DE4" w:rsidRPr="003375B4" w:rsidRDefault="00486DE4" w:rsidP="00486DE4">
      <w:pPr>
        <w:pStyle w:val="Akapitzlist"/>
        <w:ind w:left="900"/>
      </w:pPr>
    </w:p>
    <w:p w:rsidR="00486DE4" w:rsidRPr="003375B4" w:rsidRDefault="00486DE4" w:rsidP="00486DE4">
      <w:pPr>
        <w:pStyle w:val="Nagwek2"/>
        <w:rPr>
          <w:rFonts w:asciiTheme="minorHAnsi" w:hAnsiTheme="minorHAnsi" w:cstheme="minorHAnsi"/>
          <w:u w:val="single"/>
        </w:rPr>
      </w:pPr>
      <w:bookmarkStart w:id="18" w:name="_Toc405704476"/>
      <w:bookmarkStart w:id="19" w:name="_Toc405780137"/>
      <w:bookmarkStart w:id="20" w:name="_Toc406295849"/>
      <w:bookmarkStart w:id="21" w:name="_Toc406913838"/>
      <w:bookmarkStart w:id="22" w:name="_Toc406914083"/>
      <w:bookmarkStart w:id="23" w:name="_Toc406914741"/>
      <w:bookmarkStart w:id="24" w:name="_Toc406915319"/>
      <w:bookmarkStart w:id="25" w:name="_Toc406984012"/>
      <w:bookmarkStart w:id="26" w:name="_Toc406984159"/>
      <w:bookmarkStart w:id="27" w:name="_Toc406984350"/>
      <w:bookmarkStart w:id="28" w:name="_Toc407069558"/>
      <w:bookmarkStart w:id="29" w:name="_Toc407081523"/>
      <w:bookmarkStart w:id="30" w:name="_Toc407083322"/>
      <w:bookmarkStart w:id="31" w:name="_Toc407084156"/>
      <w:bookmarkStart w:id="32" w:name="_Toc407085275"/>
      <w:bookmarkStart w:id="33" w:name="_Toc407085418"/>
      <w:bookmarkStart w:id="34" w:name="_Toc407085561"/>
      <w:bookmarkStart w:id="35" w:name="_Toc407086009"/>
      <w:r w:rsidRPr="003375B4">
        <w:rPr>
          <w:rFonts w:asciiTheme="minorHAnsi" w:hAnsiTheme="minorHAnsi" w:cstheme="minorHAnsi"/>
          <w:u w:val="single"/>
        </w:rPr>
        <w:t>Określenia podstawowe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86DE4" w:rsidRPr="00C0155B" w:rsidRDefault="00486DE4" w:rsidP="00486DE4">
      <w:pPr>
        <w:rPr>
          <w:rFonts w:asciiTheme="minorHAnsi" w:hAnsiTheme="minorHAnsi" w:cstheme="minorHAnsi"/>
        </w:rPr>
      </w:pPr>
    </w:p>
    <w:p w:rsidR="00486DE4" w:rsidRPr="00C0155B" w:rsidRDefault="00486DE4" w:rsidP="00486DE4">
      <w:pPr>
        <w:pStyle w:val="Nagwek3"/>
        <w:rPr>
          <w:rFonts w:asciiTheme="minorHAnsi" w:hAnsiTheme="minorHAnsi" w:cstheme="minorHAnsi"/>
        </w:rPr>
      </w:pPr>
      <w:r w:rsidRPr="00C0155B">
        <w:rPr>
          <w:rFonts w:asciiTheme="minorHAnsi" w:hAnsiTheme="minorHAnsi" w:cstheme="minorHAnsi"/>
          <w:snapToGrid/>
        </w:rPr>
        <w:t>Stabilizacja mechaniczna</w:t>
      </w:r>
      <w:r w:rsidRPr="00C0155B">
        <w:rPr>
          <w:rFonts w:asciiTheme="minorHAnsi" w:hAnsiTheme="minorHAnsi" w:cstheme="minorHAnsi"/>
        </w:rPr>
        <w:t xml:space="preserve"> - </w:t>
      </w:r>
      <w:r w:rsidRPr="00C0155B">
        <w:rPr>
          <w:rFonts w:asciiTheme="minorHAnsi" w:hAnsiTheme="minorHAnsi" w:cstheme="minorHAnsi"/>
          <w:i w:val="0"/>
          <w:sz w:val="24"/>
          <w:szCs w:val="24"/>
        </w:rPr>
        <w:t>proces technologiczny, polegający na odpowiednim zagęszczeniu w optymalnej wilgotności kruszywa o właściwie dobranym uziarnieniu.</w:t>
      </w:r>
    </w:p>
    <w:p w:rsidR="00486DE4" w:rsidRPr="00C0155B" w:rsidRDefault="00486DE4" w:rsidP="00486DE4">
      <w:pPr>
        <w:tabs>
          <w:tab w:val="left" w:pos="1080"/>
        </w:tabs>
        <w:rPr>
          <w:rFonts w:asciiTheme="minorHAnsi" w:hAnsiTheme="minorHAnsi" w:cstheme="minorHAnsi"/>
        </w:rPr>
      </w:pPr>
    </w:p>
    <w:p w:rsidR="00486DE4" w:rsidRPr="00C0155B" w:rsidRDefault="00486DE4" w:rsidP="00486DE4">
      <w:pPr>
        <w:pStyle w:val="Nagwek3"/>
        <w:rPr>
          <w:rFonts w:asciiTheme="minorHAnsi" w:hAnsiTheme="minorHAnsi" w:cstheme="minorHAnsi"/>
        </w:rPr>
      </w:pPr>
      <w:r w:rsidRPr="00C0155B">
        <w:rPr>
          <w:rFonts w:asciiTheme="minorHAnsi" w:hAnsiTheme="minorHAnsi" w:cstheme="minorHAnsi"/>
          <w:snapToGrid/>
        </w:rPr>
        <w:t>Podbudowa z kruszywa łamanego stabilizowanego mechanicznie</w:t>
      </w:r>
      <w:r w:rsidRPr="00C0155B">
        <w:rPr>
          <w:rFonts w:asciiTheme="minorHAnsi" w:hAnsiTheme="minorHAnsi" w:cstheme="minorHAnsi"/>
        </w:rPr>
        <w:t xml:space="preserve"> -</w:t>
      </w:r>
      <w:r w:rsidRPr="00C0155B">
        <w:rPr>
          <w:rFonts w:asciiTheme="minorHAnsi" w:hAnsiTheme="minorHAnsi" w:cstheme="minorHAnsi"/>
          <w:i w:val="0"/>
          <w:sz w:val="24"/>
          <w:szCs w:val="24"/>
        </w:rPr>
        <w:t xml:space="preserve"> jedna lub więcej warstw zagęszczonej mieszanki, która stanowi warstwę nośną nawierzchni drogowej</w:t>
      </w:r>
    </w:p>
    <w:p w:rsidR="00486DE4" w:rsidRPr="00C0155B" w:rsidRDefault="00486DE4" w:rsidP="00486DE4">
      <w:pPr>
        <w:tabs>
          <w:tab w:val="left" w:pos="1080"/>
        </w:tabs>
        <w:rPr>
          <w:rFonts w:asciiTheme="minorHAnsi" w:hAnsiTheme="minorHAnsi" w:cstheme="minorHAnsi"/>
        </w:rPr>
      </w:pPr>
    </w:p>
    <w:p w:rsidR="00486DE4" w:rsidRPr="00C0155B" w:rsidRDefault="00486DE4" w:rsidP="00486DE4">
      <w:pPr>
        <w:pStyle w:val="Nagwek3"/>
        <w:rPr>
          <w:rFonts w:asciiTheme="minorHAnsi" w:hAnsiTheme="minorHAnsi" w:cstheme="minorHAnsi"/>
        </w:rPr>
      </w:pPr>
      <w:r w:rsidRPr="00C0155B">
        <w:rPr>
          <w:rFonts w:asciiTheme="minorHAnsi" w:hAnsiTheme="minorHAnsi" w:cstheme="minorHAnsi"/>
          <w:snapToGrid/>
        </w:rPr>
        <w:t>Pozostałe określenia podstawowe</w:t>
      </w:r>
      <w:r>
        <w:rPr>
          <w:rFonts w:asciiTheme="minorHAnsi" w:hAnsiTheme="minorHAnsi" w:cstheme="minorHAnsi"/>
          <w:snapToGrid/>
        </w:rPr>
        <w:t xml:space="preserve"> -</w:t>
      </w:r>
      <w:r w:rsidRPr="00C0155B">
        <w:rPr>
          <w:rFonts w:asciiTheme="minorHAnsi" w:hAnsiTheme="minorHAnsi" w:cstheme="minorHAnsi"/>
        </w:rPr>
        <w:t xml:space="preserve"> </w:t>
      </w:r>
      <w:r w:rsidRPr="00C0155B">
        <w:rPr>
          <w:rFonts w:asciiTheme="minorHAnsi" w:hAnsiTheme="minorHAnsi" w:cstheme="minorHAnsi"/>
          <w:i w:val="0"/>
          <w:sz w:val="24"/>
          <w:szCs w:val="24"/>
        </w:rPr>
        <w:t>są zgodne z obowiązującymi, odpowiednimi polskimi normami oraz z definicjami podanymi w ST D-M 00.00.00 „Wymagania ogólne” punkt 1.4</w:t>
      </w:r>
    </w:p>
    <w:p w:rsidR="00486DE4" w:rsidRPr="00C0155B" w:rsidRDefault="00486DE4" w:rsidP="00486DE4">
      <w:pPr>
        <w:pStyle w:val="Nagwek2"/>
        <w:rPr>
          <w:rFonts w:asciiTheme="minorHAnsi" w:hAnsiTheme="minorHAnsi" w:cstheme="minorHAnsi"/>
          <w:u w:val="single"/>
        </w:rPr>
      </w:pPr>
      <w:bookmarkStart w:id="36" w:name="_Toc405704477"/>
      <w:bookmarkStart w:id="37" w:name="_Toc405780138"/>
      <w:bookmarkStart w:id="38" w:name="_Toc406295850"/>
      <w:bookmarkStart w:id="39" w:name="_Toc406913839"/>
      <w:bookmarkStart w:id="40" w:name="_Toc406914084"/>
      <w:bookmarkStart w:id="41" w:name="_Toc406914742"/>
      <w:bookmarkStart w:id="42" w:name="_Toc406915320"/>
      <w:bookmarkStart w:id="43" w:name="_Toc406984013"/>
      <w:bookmarkStart w:id="44" w:name="_Toc406984160"/>
      <w:bookmarkStart w:id="45" w:name="_Toc406984351"/>
      <w:bookmarkStart w:id="46" w:name="_Toc407069559"/>
      <w:bookmarkStart w:id="47" w:name="_Toc407081524"/>
      <w:bookmarkStart w:id="48" w:name="_Toc407083323"/>
      <w:bookmarkStart w:id="49" w:name="_Toc407084157"/>
      <w:bookmarkStart w:id="50" w:name="_Toc407085276"/>
      <w:bookmarkStart w:id="51" w:name="_Toc407085419"/>
      <w:bookmarkStart w:id="52" w:name="_Toc407085562"/>
      <w:bookmarkStart w:id="53" w:name="_Toc407086010"/>
      <w:r w:rsidRPr="00C0155B">
        <w:rPr>
          <w:rFonts w:asciiTheme="minorHAnsi" w:hAnsiTheme="minorHAnsi" w:cstheme="minorHAnsi"/>
          <w:u w:val="single"/>
        </w:rPr>
        <w:t>Ogólne wymagania dotyczące robót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Wykonawca robót jest odpowiedzialny za jakość ich wykonania oraz za zgodność z Dokumentacją Projektową, ST i poleceniami Inżyniera.</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Ogólne wymagania dotyczące robót podano w ST D-M 00.00.00. „Wymagania ogólne”.</w:t>
      </w:r>
    </w:p>
    <w:p w:rsidR="00486DE4" w:rsidRPr="009102D9" w:rsidRDefault="00486DE4" w:rsidP="00486DE4">
      <w:pPr>
        <w:pStyle w:val="Tekstpodstawowy"/>
        <w:tabs>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rPr>
          <w:rStyle w:val="podpunkt"/>
          <w:b w:val="0"/>
          <w:snapToGrid w:val="0"/>
          <w:sz w:val="18"/>
          <w:szCs w:val="18"/>
        </w:rPr>
      </w:pPr>
    </w:p>
    <w:p w:rsidR="00486DE4" w:rsidRPr="00C0155B" w:rsidRDefault="00486DE4" w:rsidP="00486DE4">
      <w:pPr>
        <w:pStyle w:val="Nagwek1"/>
        <w:numPr>
          <w:ilvl w:val="0"/>
          <w:numId w:val="2"/>
        </w:numPr>
        <w:rPr>
          <w:rFonts w:asciiTheme="minorHAnsi" w:hAnsiTheme="minorHAnsi" w:cstheme="minorHAnsi"/>
        </w:rPr>
      </w:pPr>
      <w:r w:rsidRPr="00C0155B">
        <w:rPr>
          <w:rFonts w:asciiTheme="minorHAnsi" w:hAnsiTheme="minorHAnsi" w:cstheme="minorHAnsi"/>
        </w:rPr>
        <w:lastRenderedPageBreak/>
        <w:t>Materiały</w:t>
      </w:r>
    </w:p>
    <w:p w:rsidR="00486DE4" w:rsidRPr="009102D9" w:rsidRDefault="00486DE4" w:rsidP="00486DE4">
      <w:pPr>
        <w:rPr>
          <w:sz w:val="18"/>
          <w:szCs w:val="18"/>
        </w:rPr>
      </w:pPr>
    </w:p>
    <w:p w:rsidR="00486DE4" w:rsidRPr="00C0155B" w:rsidRDefault="00486DE4" w:rsidP="00486DE4">
      <w:pPr>
        <w:pStyle w:val="Nagwek2"/>
        <w:rPr>
          <w:rFonts w:asciiTheme="minorHAnsi" w:hAnsiTheme="minorHAnsi" w:cstheme="minorHAnsi"/>
          <w:u w:val="single"/>
        </w:rPr>
      </w:pPr>
      <w:r w:rsidRPr="00C0155B">
        <w:rPr>
          <w:rFonts w:asciiTheme="minorHAnsi" w:hAnsiTheme="minorHAnsi" w:cstheme="minorHAnsi"/>
          <w:u w:val="single"/>
        </w:rPr>
        <w:t>Ogólne wymagania dotyczące materiałów</w:t>
      </w:r>
    </w:p>
    <w:p w:rsidR="00486DE4" w:rsidRPr="009102D9" w:rsidRDefault="00486DE4" w:rsidP="00486DE4">
      <w:pPr>
        <w:rPr>
          <w:sz w:val="16"/>
          <w:szCs w:val="16"/>
        </w:rPr>
      </w:pP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Ogólne wymagania dotyczące materiałów, ich pozyskiwania i składowania, podano w ST D-M 00.00.00 „Wymagania ogólne” punkt 2.</w:t>
      </w:r>
    </w:p>
    <w:p w:rsidR="00486DE4" w:rsidRPr="009102D9" w:rsidRDefault="00486DE4" w:rsidP="00486DE4">
      <w:pPr>
        <w:pStyle w:val="Standardowytekst"/>
        <w:numPr>
          <w:ilvl w:val="12"/>
          <w:numId w:val="0"/>
        </w:numPr>
        <w:ind w:left="540"/>
        <w:rPr>
          <w:sz w:val="18"/>
          <w:szCs w:val="18"/>
        </w:rPr>
      </w:pPr>
    </w:p>
    <w:p w:rsidR="00486DE4" w:rsidRPr="00C0155B" w:rsidRDefault="00486DE4" w:rsidP="00486DE4">
      <w:pPr>
        <w:pStyle w:val="Nagwek2"/>
        <w:rPr>
          <w:rFonts w:asciiTheme="minorHAnsi" w:hAnsiTheme="minorHAnsi" w:cstheme="minorHAnsi"/>
          <w:u w:val="single"/>
        </w:rPr>
      </w:pPr>
      <w:r w:rsidRPr="00C0155B">
        <w:rPr>
          <w:rFonts w:asciiTheme="minorHAnsi" w:hAnsiTheme="minorHAnsi" w:cstheme="minorHAnsi"/>
          <w:u w:val="single"/>
        </w:rPr>
        <w:t>Rodzaje materiałów</w:t>
      </w:r>
    </w:p>
    <w:p w:rsidR="00486DE4" w:rsidRPr="009102D9" w:rsidRDefault="00486DE4" w:rsidP="00486DE4">
      <w:pPr>
        <w:rPr>
          <w:sz w:val="18"/>
          <w:szCs w:val="18"/>
        </w:rPr>
      </w:pP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 xml:space="preserve">Materiałem do wykonania podbudowy z kruszyw łamanych stabilizowanych mechanicznie powinno być kruszywo łamane, uzyskane w wyniku </w:t>
      </w:r>
      <w:proofErr w:type="spellStart"/>
      <w:r w:rsidRPr="00C0155B">
        <w:rPr>
          <w:rFonts w:asciiTheme="minorHAnsi" w:hAnsiTheme="minorHAnsi" w:cstheme="minorHAnsi"/>
          <w:spacing w:val="-3"/>
          <w:sz w:val="24"/>
          <w:szCs w:val="24"/>
        </w:rPr>
        <w:t>przekruszenia</w:t>
      </w:r>
      <w:proofErr w:type="spellEnd"/>
      <w:r w:rsidRPr="00C0155B">
        <w:rPr>
          <w:rFonts w:asciiTheme="minorHAnsi" w:hAnsiTheme="minorHAnsi" w:cstheme="minorHAnsi"/>
          <w:spacing w:val="-3"/>
          <w:sz w:val="24"/>
          <w:szCs w:val="24"/>
        </w:rPr>
        <w:t xml:space="preserve"> surowca skalnego, kamieni narzutowych i otoczaków, </w:t>
      </w:r>
      <w:proofErr w:type="spellStart"/>
      <w:r w:rsidRPr="00C0155B">
        <w:rPr>
          <w:rFonts w:asciiTheme="minorHAnsi" w:hAnsiTheme="minorHAnsi" w:cstheme="minorHAnsi"/>
          <w:spacing w:val="-3"/>
          <w:sz w:val="24"/>
          <w:szCs w:val="24"/>
        </w:rPr>
        <w:t>ziarn</w:t>
      </w:r>
      <w:proofErr w:type="spellEnd"/>
      <w:r w:rsidRPr="00C0155B">
        <w:rPr>
          <w:rFonts w:asciiTheme="minorHAnsi" w:hAnsiTheme="minorHAnsi" w:cstheme="minorHAnsi"/>
          <w:spacing w:val="-3"/>
          <w:sz w:val="24"/>
          <w:szCs w:val="24"/>
        </w:rPr>
        <w:t xml:space="preserve"> żwiru większych od 8 mm lub odpadów przemysłowych (np. żużli pomiedziowych, wielkopiecowych, stalowniczych), które posiadają aprobaty techniczne, Wykonawca uzyska na ich zastosowanie zgodę lokalnych władz zgodnie z obowiązującymi przepisami oraz mają cechy zgodne z wymaganiami podanymi w punkcie 2.3</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Kruszywo powinno być jednorodne bez zanieczyszczeń obcych i bez domieszek gliny.</w:t>
      </w:r>
    </w:p>
    <w:p w:rsidR="00486DE4" w:rsidRPr="009102D9" w:rsidRDefault="00486DE4" w:rsidP="00486DE4">
      <w:pPr>
        <w:rPr>
          <w:sz w:val="16"/>
          <w:szCs w:val="16"/>
        </w:rPr>
      </w:pPr>
    </w:p>
    <w:p w:rsidR="00486DE4" w:rsidRPr="00C0155B" w:rsidRDefault="00486DE4" w:rsidP="00486DE4">
      <w:pPr>
        <w:pStyle w:val="Nagwek2"/>
        <w:rPr>
          <w:rFonts w:asciiTheme="minorHAnsi" w:hAnsiTheme="minorHAnsi" w:cstheme="minorHAnsi"/>
          <w:u w:val="single"/>
        </w:rPr>
      </w:pPr>
      <w:r w:rsidRPr="00C0155B">
        <w:rPr>
          <w:rFonts w:asciiTheme="minorHAnsi" w:hAnsiTheme="minorHAnsi" w:cstheme="minorHAnsi"/>
          <w:u w:val="single"/>
        </w:rPr>
        <w:t>Wymagania dla materiałów</w:t>
      </w:r>
    </w:p>
    <w:p w:rsidR="00486DE4" w:rsidRPr="00C0155B" w:rsidRDefault="00486DE4" w:rsidP="00486DE4">
      <w:pPr>
        <w:pStyle w:val="Nagwek3"/>
        <w:rPr>
          <w:snapToGrid/>
        </w:rPr>
      </w:pPr>
      <w:r w:rsidRPr="00C0155B">
        <w:rPr>
          <w:snapToGrid/>
        </w:rPr>
        <w:t>Uziarnienie kruszywa</w:t>
      </w:r>
    </w:p>
    <w:p w:rsidR="00486DE4" w:rsidRDefault="00486DE4" w:rsidP="00486DE4">
      <w:pPr>
        <w:framePr w:hSpace="141" w:wrap="auto" w:vAnchor="text" w:hAnchor="page" w:x="2409" w:y="756"/>
      </w:pPr>
      <w:r>
        <w:rPr>
          <w:noProof/>
        </w:rPr>
        <w:drawing>
          <wp:inline distT="0" distB="0" distL="0" distR="0">
            <wp:extent cx="4533900" cy="3001054"/>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4533900" cy="3001054"/>
                    </a:xfrm>
                    <a:prstGeom prst="rect">
                      <a:avLst/>
                    </a:prstGeom>
                    <a:noFill/>
                    <a:ln w="9525">
                      <a:noFill/>
                      <a:miter lim="800000"/>
                      <a:headEnd/>
                      <a:tailEnd/>
                    </a:ln>
                  </pic:spPr>
                </pic:pic>
              </a:graphicData>
            </a:graphic>
          </wp:inline>
        </w:drawing>
      </w:r>
    </w:p>
    <w:p w:rsidR="00486DE4" w:rsidRDefault="00486DE4" w:rsidP="00486DE4">
      <w:pPr>
        <w:pStyle w:val="Tekstpodstawowywcity"/>
        <w:rPr>
          <w:rFonts w:asciiTheme="minorHAnsi" w:hAnsiTheme="minorHAnsi" w:cstheme="minorHAnsi"/>
          <w:spacing w:val="-3"/>
        </w:rPr>
      </w:pP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lastRenderedPageBreak/>
        <w:t xml:space="preserve">Rysunek 1. Pole dobrego uziarnienia kruszyw przeznaczonych na podbudowy  wykonywane metodą stabilizacji mechanicznej   </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Krzywa uziarnienia kruszywa, określona według PN-B-06714-15 powinna leżeć między krzywymi granicznymi 1 – 2 w polu dobrego uziarnienia określonym na rysunku 1.</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486DE4" w:rsidRDefault="00486DE4" w:rsidP="00486DE4">
      <w:pPr>
        <w:pStyle w:val="Standardowytekst"/>
        <w:numPr>
          <w:ilvl w:val="12"/>
          <w:numId w:val="0"/>
        </w:numPr>
        <w:ind w:left="810"/>
        <w:rPr>
          <w:sz w:val="24"/>
        </w:rPr>
      </w:pPr>
    </w:p>
    <w:p w:rsidR="00486DE4" w:rsidRPr="00C0155B" w:rsidRDefault="00486DE4" w:rsidP="00486DE4">
      <w:pPr>
        <w:pStyle w:val="Nagwek3"/>
        <w:rPr>
          <w:rFonts w:asciiTheme="minorHAnsi" w:hAnsiTheme="minorHAnsi" w:cstheme="minorHAnsi"/>
        </w:rPr>
      </w:pPr>
      <w:r w:rsidRPr="00C0155B">
        <w:rPr>
          <w:rFonts w:asciiTheme="minorHAnsi" w:hAnsiTheme="minorHAnsi" w:cstheme="minorHAnsi"/>
        </w:rPr>
        <w:t>Właściwości kruszywa</w:t>
      </w:r>
    </w:p>
    <w:p w:rsidR="00486DE4" w:rsidRDefault="00486DE4" w:rsidP="00486DE4">
      <w:pPr>
        <w:pStyle w:val="Standardowytekst"/>
        <w:numPr>
          <w:ilvl w:val="12"/>
          <w:numId w:val="0"/>
        </w:numPr>
        <w:ind w:left="810"/>
        <w:rPr>
          <w:sz w:val="24"/>
        </w:rPr>
      </w:pP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Kruszywa powinny spełniać wymagania określone w tablicy 1.</w:t>
      </w:r>
    </w:p>
    <w:p w:rsidR="00486DE4" w:rsidRDefault="00486DE4" w:rsidP="00486DE4">
      <w:pPr>
        <w:pStyle w:val="Standardowytekst"/>
        <w:numPr>
          <w:ilvl w:val="12"/>
          <w:numId w:val="0"/>
        </w:numPr>
        <w:ind w:left="810"/>
        <w:rPr>
          <w:sz w:val="24"/>
        </w:rPr>
      </w:pPr>
    </w:p>
    <w:p w:rsidR="00486DE4" w:rsidRDefault="00486DE4" w:rsidP="00486DE4">
      <w:pPr>
        <w:pStyle w:val="Standardowytekst"/>
        <w:numPr>
          <w:ilvl w:val="12"/>
          <w:numId w:val="0"/>
        </w:numPr>
        <w:ind w:left="810"/>
        <w:rPr>
          <w:sz w:val="24"/>
          <w:lang w:val="en-US"/>
        </w:rPr>
      </w:pPr>
      <w:proofErr w:type="spellStart"/>
      <w:r>
        <w:rPr>
          <w:sz w:val="24"/>
          <w:lang w:val="en-US"/>
        </w:rPr>
        <w:t>Tablica</w:t>
      </w:r>
      <w:proofErr w:type="spellEnd"/>
      <w:r>
        <w:rPr>
          <w:sz w:val="24"/>
          <w:lang w:val="en-US"/>
        </w:rPr>
        <w:t xml:space="preserve"> 1.</w:t>
      </w:r>
    </w:p>
    <w:p w:rsidR="00486DE4" w:rsidRDefault="00486DE4" w:rsidP="00486DE4">
      <w:pPr>
        <w:pStyle w:val="Standardowytekst"/>
        <w:numPr>
          <w:ilvl w:val="12"/>
          <w:numId w:val="0"/>
        </w:numPr>
        <w:ind w:left="810"/>
        <w:rPr>
          <w:sz w:val="24"/>
          <w:lang w:val="en-US"/>
        </w:rPr>
      </w:pP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089"/>
        <w:gridCol w:w="929"/>
        <w:gridCol w:w="2917"/>
        <w:gridCol w:w="1754"/>
      </w:tblGrid>
      <w:tr w:rsidR="00486DE4" w:rsidTr="005A2054">
        <w:trPr>
          <w:cantSplit/>
        </w:trPr>
        <w:tc>
          <w:tcPr>
            <w:tcW w:w="540" w:type="dxa"/>
            <w:vMerge w:val="restart"/>
            <w:vAlign w:val="center"/>
          </w:tcPr>
          <w:p w:rsidR="00486DE4" w:rsidRDefault="00486DE4" w:rsidP="005A2054">
            <w:pPr>
              <w:pStyle w:val="Standardowytekst"/>
              <w:numPr>
                <w:ilvl w:val="12"/>
                <w:numId w:val="0"/>
              </w:numPr>
              <w:jc w:val="center"/>
              <w:rPr>
                <w:lang w:val="en-US"/>
              </w:rPr>
            </w:pPr>
            <w:proofErr w:type="spellStart"/>
            <w:r>
              <w:rPr>
                <w:lang w:val="en-US"/>
              </w:rPr>
              <w:t>L.p</w:t>
            </w:r>
            <w:proofErr w:type="spellEnd"/>
            <w:r>
              <w:rPr>
                <w:lang w:val="en-US"/>
              </w:rPr>
              <w:t>.</w:t>
            </w:r>
          </w:p>
        </w:tc>
        <w:tc>
          <w:tcPr>
            <w:tcW w:w="3089" w:type="dxa"/>
            <w:vMerge w:val="restart"/>
            <w:vAlign w:val="center"/>
          </w:tcPr>
          <w:p w:rsidR="00486DE4" w:rsidRDefault="00486DE4" w:rsidP="005A2054">
            <w:pPr>
              <w:pStyle w:val="Standardowytekst"/>
              <w:numPr>
                <w:ilvl w:val="12"/>
                <w:numId w:val="0"/>
              </w:numPr>
              <w:jc w:val="center"/>
            </w:pPr>
            <w:r>
              <w:t>Właściwości</w:t>
            </w:r>
          </w:p>
        </w:tc>
        <w:tc>
          <w:tcPr>
            <w:tcW w:w="929" w:type="dxa"/>
            <w:vMerge w:val="restart"/>
            <w:vAlign w:val="center"/>
          </w:tcPr>
          <w:p w:rsidR="00486DE4" w:rsidRDefault="00486DE4" w:rsidP="005A2054">
            <w:pPr>
              <w:pStyle w:val="Standardowytekst"/>
              <w:numPr>
                <w:ilvl w:val="12"/>
                <w:numId w:val="0"/>
              </w:numPr>
              <w:jc w:val="center"/>
            </w:pPr>
            <w:r>
              <w:t>Jednostka</w:t>
            </w:r>
          </w:p>
        </w:tc>
        <w:tc>
          <w:tcPr>
            <w:tcW w:w="2917" w:type="dxa"/>
            <w:vAlign w:val="center"/>
          </w:tcPr>
          <w:p w:rsidR="00486DE4" w:rsidRDefault="00486DE4" w:rsidP="005A2054">
            <w:pPr>
              <w:pStyle w:val="Standardowytekst"/>
              <w:numPr>
                <w:ilvl w:val="12"/>
                <w:numId w:val="0"/>
              </w:numPr>
              <w:jc w:val="center"/>
            </w:pPr>
            <w:r>
              <w:t>Wymagania</w:t>
            </w:r>
          </w:p>
        </w:tc>
        <w:tc>
          <w:tcPr>
            <w:tcW w:w="1754" w:type="dxa"/>
            <w:vMerge w:val="restart"/>
            <w:vAlign w:val="center"/>
          </w:tcPr>
          <w:p w:rsidR="00486DE4" w:rsidRDefault="00486DE4" w:rsidP="005A2054">
            <w:pPr>
              <w:pStyle w:val="Standardowytekst"/>
              <w:numPr>
                <w:ilvl w:val="12"/>
                <w:numId w:val="0"/>
              </w:numPr>
              <w:jc w:val="center"/>
            </w:pPr>
            <w:r>
              <w:t>Badanie wg normy</w:t>
            </w:r>
          </w:p>
        </w:tc>
      </w:tr>
      <w:tr w:rsidR="00486DE4" w:rsidTr="005A2054">
        <w:trPr>
          <w:cantSplit/>
        </w:trPr>
        <w:tc>
          <w:tcPr>
            <w:tcW w:w="540" w:type="dxa"/>
            <w:vMerge/>
            <w:vAlign w:val="center"/>
          </w:tcPr>
          <w:p w:rsidR="00486DE4" w:rsidRDefault="00486DE4" w:rsidP="005A2054">
            <w:pPr>
              <w:pStyle w:val="Standardowytekst"/>
              <w:numPr>
                <w:ilvl w:val="12"/>
                <w:numId w:val="0"/>
              </w:numPr>
              <w:jc w:val="center"/>
            </w:pPr>
          </w:p>
        </w:tc>
        <w:tc>
          <w:tcPr>
            <w:tcW w:w="3089" w:type="dxa"/>
            <w:vMerge/>
            <w:vAlign w:val="center"/>
          </w:tcPr>
          <w:p w:rsidR="00486DE4" w:rsidRDefault="00486DE4" w:rsidP="005A2054">
            <w:pPr>
              <w:pStyle w:val="Standardowytekst"/>
              <w:numPr>
                <w:ilvl w:val="12"/>
                <w:numId w:val="0"/>
              </w:numPr>
              <w:jc w:val="center"/>
            </w:pPr>
          </w:p>
        </w:tc>
        <w:tc>
          <w:tcPr>
            <w:tcW w:w="929" w:type="dxa"/>
            <w:vMerge/>
            <w:vAlign w:val="center"/>
          </w:tcPr>
          <w:p w:rsidR="00486DE4" w:rsidRDefault="00486DE4" w:rsidP="005A2054">
            <w:pPr>
              <w:pStyle w:val="Standardowytekst"/>
              <w:numPr>
                <w:ilvl w:val="12"/>
                <w:numId w:val="0"/>
              </w:numPr>
              <w:jc w:val="center"/>
            </w:pPr>
          </w:p>
        </w:tc>
        <w:tc>
          <w:tcPr>
            <w:tcW w:w="2917" w:type="dxa"/>
            <w:vAlign w:val="center"/>
          </w:tcPr>
          <w:p w:rsidR="00486DE4" w:rsidRDefault="00486DE4" w:rsidP="005A2054">
            <w:pPr>
              <w:pStyle w:val="Standardowytekst"/>
              <w:numPr>
                <w:ilvl w:val="12"/>
                <w:numId w:val="0"/>
              </w:numPr>
              <w:jc w:val="center"/>
            </w:pPr>
            <w:r>
              <w:t>Kruszywo łamane – podbudowa zasadnicza / pomocnicza</w:t>
            </w:r>
          </w:p>
        </w:tc>
        <w:tc>
          <w:tcPr>
            <w:tcW w:w="1754" w:type="dxa"/>
            <w:vMerge/>
            <w:vAlign w:val="center"/>
          </w:tcPr>
          <w:p w:rsidR="00486DE4" w:rsidRDefault="00486DE4" w:rsidP="005A2054">
            <w:pPr>
              <w:pStyle w:val="Standardowytekst"/>
              <w:numPr>
                <w:ilvl w:val="12"/>
                <w:numId w:val="0"/>
              </w:numPr>
              <w:jc w:val="center"/>
            </w:pPr>
          </w:p>
        </w:tc>
      </w:tr>
      <w:tr w:rsidR="00486DE4" w:rsidTr="005A2054">
        <w:trPr>
          <w:cantSplit/>
        </w:trPr>
        <w:tc>
          <w:tcPr>
            <w:tcW w:w="540" w:type="dxa"/>
          </w:tcPr>
          <w:p w:rsidR="00486DE4" w:rsidRDefault="00486DE4" w:rsidP="005A2054">
            <w:pPr>
              <w:pStyle w:val="Standardowytekst"/>
              <w:numPr>
                <w:ilvl w:val="12"/>
                <w:numId w:val="0"/>
              </w:numPr>
              <w:jc w:val="center"/>
            </w:pPr>
            <w:r>
              <w:t>1</w:t>
            </w:r>
          </w:p>
        </w:tc>
        <w:tc>
          <w:tcPr>
            <w:tcW w:w="3089" w:type="dxa"/>
          </w:tcPr>
          <w:p w:rsidR="00486DE4" w:rsidRDefault="00486DE4" w:rsidP="005A2054">
            <w:pPr>
              <w:pStyle w:val="Standardowytekst"/>
              <w:numPr>
                <w:ilvl w:val="12"/>
                <w:numId w:val="0"/>
              </w:numPr>
            </w:pPr>
            <w:r>
              <w:t xml:space="preserve">Zawartość </w:t>
            </w:r>
            <w:proofErr w:type="spellStart"/>
            <w:r>
              <w:t>ziarn</w:t>
            </w:r>
            <w:proofErr w:type="spellEnd"/>
            <w:r>
              <w:t xml:space="preserve"> mniejszych niż 0,075 mm</w:t>
            </w:r>
          </w:p>
        </w:tc>
        <w:tc>
          <w:tcPr>
            <w:tcW w:w="929" w:type="dxa"/>
            <w:vAlign w:val="bottom"/>
          </w:tcPr>
          <w:p w:rsidR="00486DE4" w:rsidRDefault="00486DE4" w:rsidP="005A2054">
            <w:pPr>
              <w:pStyle w:val="Standardowytekst"/>
              <w:numPr>
                <w:ilvl w:val="12"/>
                <w:numId w:val="0"/>
              </w:numPr>
              <w:jc w:val="center"/>
            </w:pPr>
            <w:r>
              <w:t>% (m/m)</w:t>
            </w:r>
          </w:p>
        </w:tc>
        <w:tc>
          <w:tcPr>
            <w:tcW w:w="2917" w:type="dxa"/>
            <w:vAlign w:val="bottom"/>
          </w:tcPr>
          <w:p w:rsidR="00486DE4" w:rsidRDefault="00486DE4" w:rsidP="005A2054">
            <w:pPr>
              <w:pStyle w:val="Standardowytekst"/>
              <w:numPr>
                <w:ilvl w:val="12"/>
                <w:numId w:val="0"/>
              </w:numPr>
              <w:jc w:val="center"/>
            </w:pPr>
            <w:r>
              <w:t>2 - 10</w:t>
            </w:r>
          </w:p>
        </w:tc>
        <w:tc>
          <w:tcPr>
            <w:tcW w:w="1754" w:type="dxa"/>
            <w:vAlign w:val="bottom"/>
          </w:tcPr>
          <w:p w:rsidR="00486DE4" w:rsidRDefault="00486DE4" w:rsidP="005A2054">
            <w:pPr>
              <w:pStyle w:val="Standardowytekst"/>
              <w:numPr>
                <w:ilvl w:val="12"/>
                <w:numId w:val="0"/>
              </w:numPr>
              <w:jc w:val="center"/>
            </w:pPr>
            <w:r>
              <w:t xml:space="preserve">PN-B-06714-15 </w:t>
            </w:r>
          </w:p>
        </w:tc>
      </w:tr>
      <w:tr w:rsidR="00486DE4" w:rsidTr="005A2054">
        <w:trPr>
          <w:cantSplit/>
        </w:trPr>
        <w:tc>
          <w:tcPr>
            <w:tcW w:w="540" w:type="dxa"/>
          </w:tcPr>
          <w:p w:rsidR="00486DE4" w:rsidRDefault="00486DE4" w:rsidP="005A2054">
            <w:pPr>
              <w:pStyle w:val="Standardowytekst"/>
              <w:numPr>
                <w:ilvl w:val="12"/>
                <w:numId w:val="0"/>
              </w:numPr>
              <w:jc w:val="center"/>
            </w:pPr>
            <w:r>
              <w:t>2</w:t>
            </w:r>
          </w:p>
        </w:tc>
        <w:tc>
          <w:tcPr>
            <w:tcW w:w="3089" w:type="dxa"/>
          </w:tcPr>
          <w:p w:rsidR="00486DE4" w:rsidRDefault="00486DE4" w:rsidP="005A2054">
            <w:pPr>
              <w:pStyle w:val="Standardowytekst"/>
              <w:numPr>
                <w:ilvl w:val="12"/>
                <w:numId w:val="0"/>
              </w:numPr>
            </w:pPr>
            <w:r>
              <w:t>Zawartość nadziarna</w:t>
            </w:r>
          </w:p>
        </w:tc>
        <w:tc>
          <w:tcPr>
            <w:tcW w:w="929" w:type="dxa"/>
            <w:vAlign w:val="bottom"/>
          </w:tcPr>
          <w:p w:rsidR="00486DE4" w:rsidRDefault="00486DE4" w:rsidP="005A2054">
            <w:pPr>
              <w:pStyle w:val="Standardowytekst"/>
              <w:numPr>
                <w:ilvl w:val="12"/>
                <w:numId w:val="0"/>
              </w:numPr>
              <w:jc w:val="center"/>
            </w:pPr>
            <w:r>
              <w:t>% (m/m)</w:t>
            </w:r>
          </w:p>
        </w:tc>
        <w:tc>
          <w:tcPr>
            <w:tcW w:w="2917" w:type="dxa"/>
            <w:vAlign w:val="bottom"/>
          </w:tcPr>
          <w:p w:rsidR="00486DE4" w:rsidRDefault="00486DE4" w:rsidP="005A2054">
            <w:pPr>
              <w:pStyle w:val="Standardowytekst"/>
              <w:numPr>
                <w:ilvl w:val="12"/>
                <w:numId w:val="0"/>
              </w:numPr>
              <w:jc w:val="center"/>
            </w:pPr>
            <w:r>
              <w:t>≤ 5</w:t>
            </w:r>
          </w:p>
        </w:tc>
        <w:tc>
          <w:tcPr>
            <w:tcW w:w="1754" w:type="dxa"/>
            <w:vAlign w:val="bottom"/>
          </w:tcPr>
          <w:p w:rsidR="00486DE4" w:rsidRDefault="00486DE4" w:rsidP="005A2054">
            <w:pPr>
              <w:pStyle w:val="Standardowytekst"/>
              <w:numPr>
                <w:ilvl w:val="12"/>
                <w:numId w:val="0"/>
              </w:numPr>
              <w:jc w:val="center"/>
            </w:pPr>
            <w:r>
              <w:t xml:space="preserve">PN-B-06714-15 </w:t>
            </w:r>
          </w:p>
        </w:tc>
      </w:tr>
      <w:tr w:rsidR="00486DE4" w:rsidTr="005A2054">
        <w:trPr>
          <w:cantSplit/>
        </w:trPr>
        <w:tc>
          <w:tcPr>
            <w:tcW w:w="540" w:type="dxa"/>
          </w:tcPr>
          <w:p w:rsidR="00486DE4" w:rsidRDefault="00486DE4" w:rsidP="005A2054">
            <w:pPr>
              <w:pStyle w:val="Standardowytekst"/>
              <w:numPr>
                <w:ilvl w:val="12"/>
                <w:numId w:val="0"/>
              </w:numPr>
              <w:jc w:val="center"/>
            </w:pPr>
            <w:r>
              <w:t>3</w:t>
            </w:r>
          </w:p>
        </w:tc>
        <w:tc>
          <w:tcPr>
            <w:tcW w:w="3089" w:type="dxa"/>
          </w:tcPr>
          <w:p w:rsidR="00486DE4" w:rsidRDefault="00486DE4" w:rsidP="005A2054">
            <w:pPr>
              <w:pStyle w:val="Standardowytekst"/>
              <w:numPr>
                <w:ilvl w:val="12"/>
                <w:numId w:val="0"/>
              </w:numPr>
            </w:pPr>
            <w:r>
              <w:t xml:space="preserve">Zawartość </w:t>
            </w:r>
            <w:proofErr w:type="spellStart"/>
            <w:r>
              <w:t>ziarn</w:t>
            </w:r>
            <w:proofErr w:type="spellEnd"/>
            <w:r>
              <w:t xml:space="preserve"> nieforemnych</w:t>
            </w:r>
          </w:p>
        </w:tc>
        <w:tc>
          <w:tcPr>
            <w:tcW w:w="929" w:type="dxa"/>
            <w:vAlign w:val="bottom"/>
          </w:tcPr>
          <w:p w:rsidR="00486DE4" w:rsidRDefault="00486DE4" w:rsidP="005A2054">
            <w:pPr>
              <w:pStyle w:val="Standardowytekst"/>
              <w:numPr>
                <w:ilvl w:val="12"/>
                <w:numId w:val="0"/>
              </w:numPr>
              <w:jc w:val="center"/>
            </w:pPr>
            <w:r>
              <w:t>% (m/m)</w:t>
            </w:r>
          </w:p>
        </w:tc>
        <w:tc>
          <w:tcPr>
            <w:tcW w:w="2917" w:type="dxa"/>
            <w:vAlign w:val="bottom"/>
          </w:tcPr>
          <w:p w:rsidR="00486DE4" w:rsidRDefault="00486DE4" w:rsidP="005A2054">
            <w:pPr>
              <w:pStyle w:val="Standardowytekst"/>
              <w:numPr>
                <w:ilvl w:val="12"/>
                <w:numId w:val="0"/>
              </w:numPr>
              <w:jc w:val="center"/>
            </w:pPr>
            <w:r>
              <w:t>≤ 35</w:t>
            </w:r>
          </w:p>
        </w:tc>
        <w:tc>
          <w:tcPr>
            <w:tcW w:w="1754" w:type="dxa"/>
            <w:vAlign w:val="bottom"/>
          </w:tcPr>
          <w:p w:rsidR="00486DE4" w:rsidRDefault="00486DE4" w:rsidP="005A2054">
            <w:pPr>
              <w:pStyle w:val="Standardowytekst"/>
              <w:numPr>
                <w:ilvl w:val="12"/>
                <w:numId w:val="0"/>
              </w:numPr>
              <w:jc w:val="center"/>
            </w:pPr>
            <w:r>
              <w:t xml:space="preserve">PN-B-06714-16 </w:t>
            </w:r>
          </w:p>
        </w:tc>
      </w:tr>
      <w:tr w:rsidR="00486DE4" w:rsidTr="005A2054">
        <w:trPr>
          <w:cantSplit/>
        </w:trPr>
        <w:tc>
          <w:tcPr>
            <w:tcW w:w="540" w:type="dxa"/>
          </w:tcPr>
          <w:p w:rsidR="00486DE4" w:rsidRDefault="00486DE4" w:rsidP="005A2054">
            <w:pPr>
              <w:pStyle w:val="Standardowytekst"/>
              <w:numPr>
                <w:ilvl w:val="12"/>
                <w:numId w:val="0"/>
              </w:numPr>
              <w:jc w:val="center"/>
            </w:pPr>
            <w:r>
              <w:t>4</w:t>
            </w:r>
          </w:p>
        </w:tc>
        <w:tc>
          <w:tcPr>
            <w:tcW w:w="3089" w:type="dxa"/>
          </w:tcPr>
          <w:p w:rsidR="00486DE4" w:rsidRDefault="00486DE4" w:rsidP="005A2054">
            <w:pPr>
              <w:pStyle w:val="Standardowytekst"/>
              <w:numPr>
                <w:ilvl w:val="12"/>
                <w:numId w:val="0"/>
              </w:numPr>
              <w:jc w:val="left"/>
            </w:pPr>
            <w:r>
              <w:t>Zawartość zanieczyszczeń organicznych</w:t>
            </w:r>
          </w:p>
        </w:tc>
        <w:tc>
          <w:tcPr>
            <w:tcW w:w="929" w:type="dxa"/>
            <w:vAlign w:val="bottom"/>
          </w:tcPr>
          <w:p w:rsidR="00486DE4" w:rsidRDefault="00486DE4" w:rsidP="005A2054">
            <w:pPr>
              <w:pStyle w:val="Standardowytekst"/>
              <w:numPr>
                <w:ilvl w:val="12"/>
                <w:numId w:val="0"/>
              </w:numPr>
              <w:jc w:val="center"/>
            </w:pPr>
            <w:r>
              <w:t>% (m/m)</w:t>
            </w:r>
          </w:p>
        </w:tc>
        <w:tc>
          <w:tcPr>
            <w:tcW w:w="2917" w:type="dxa"/>
            <w:vAlign w:val="bottom"/>
          </w:tcPr>
          <w:p w:rsidR="00486DE4" w:rsidRDefault="00486DE4" w:rsidP="005A2054">
            <w:pPr>
              <w:pStyle w:val="Standardowytekst"/>
              <w:numPr>
                <w:ilvl w:val="12"/>
                <w:numId w:val="0"/>
              </w:numPr>
              <w:jc w:val="center"/>
            </w:pPr>
            <w:r>
              <w:t>≤ 1</w:t>
            </w:r>
          </w:p>
        </w:tc>
        <w:tc>
          <w:tcPr>
            <w:tcW w:w="1754" w:type="dxa"/>
            <w:vAlign w:val="bottom"/>
          </w:tcPr>
          <w:p w:rsidR="00486DE4" w:rsidRDefault="00486DE4" w:rsidP="005A2054">
            <w:pPr>
              <w:pStyle w:val="Standardowytekst"/>
              <w:numPr>
                <w:ilvl w:val="12"/>
                <w:numId w:val="0"/>
              </w:numPr>
              <w:jc w:val="center"/>
            </w:pPr>
            <w:r>
              <w:t xml:space="preserve">PN-B-04481 </w:t>
            </w:r>
          </w:p>
        </w:tc>
      </w:tr>
      <w:tr w:rsidR="00486DE4" w:rsidTr="005A2054">
        <w:trPr>
          <w:cantSplit/>
        </w:trPr>
        <w:tc>
          <w:tcPr>
            <w:tcW w:w="540" w:type="dxa"/>
          </w:tcPr>
          <w:p w:rsidR="00486DE4" w:rsidRDefault="00486DE4" w:rsidP="005A2054">
            <w:pPr>
              <w:pStyle w:val="Standardowytekst"/>
              <w:numPr>
                <w:ilvl w:val="12"/>
                <w:numId w:val="0"/>
              </w:numPr>
              <w:jc w:val="center"/>
            </w:pPr>
            <w:r>
              <w:t>5</w:t>
            </w:r>
          </w:p>
        </w:tc>
        <w:tc>
          <w:tcPr>
            <w:tcW w:w="3089" w:type="dxa"/>
          </w:tcPr>
          <w:p w:rsidR="00486DE4" w:rsidRDefault="00486DE4" w:rsidP="005A2054">
            <w:pPr>
              <w:pStyle w:val="Standardowytekst"/>
              <w:numPr>
                <w:ilvl w:val="12"/>
                <w:numId w:val="0"/>
              </w:numPr>
              <w:jc w:val="left"/>
            </w:pPr>
            <w:r>
              <w:t xml:space="preserve">Wskaźnik piaskowy po </w:t>
            </w:r>
            <w:proofErr w:type="spellStart"/>
            <w:r>
              <w:t>pięcio-krotnym</w:t>
            </w:r>
            <w:proofErr w:type="spellEnd"/>
            <w:r>
              <w:t xml:space="preserve"> zagęszczeniu metodą II wg PN-B-04481</w:t>
            </w:r>
          </w:p>
        </w:tc>
        <w:tc>
          <w:tcPr>
            <w:tcW w:w="929" w:type="dxa"/>
            <w:vAlign w:val="bottom"/>
          </w:tcPr>
          <w:p w:rsidR="00486DE4" w:rsidRDefault="00486DE4" w:rsidP="005A2054">
            <w:pPr>
              <w:pStyle w:val="Standardowytekst"/>
              <w:numPr>
                <w:ilvl w:val="12"/>
                <w:numId w:val="0"/>
              </w:numPr>
              <w:jc w:val="center"/>
            </w:pPr>
          </w:p>
        </w:tc>
        <w:tc>
          <w:tcPr>
            <w:tcW w:w="2917" w:type="dxa"/>
            <w:vAlign w:val="bottom"/>
          </w:tcPr>
          <w:p w:rsidR="00486DE4" w:rsidRDefault="00486DE4" w:rsidP="005A2054">
            <w:pPr>
              <w:pStyle w:val="Standardowytekst"/>
              <w:numPr>
                <w:ilvl w:val="12"/>
                <w:numId w:val="0"/>
              </w:numPr>
              <w:jc w:val="center"/>
            </w:pPr>
            <w:r>
              <w:t>30 - 70</w:t>
            </w:r>
          </w:p>
        </w:tc>
        <w:tc>
          <w:tcPr>
            <w:tcW w:w="1754" w:type="dxa"/>
            <w:vAlign w:val="bottom"/>
          </w:tcPr>
          <w:p w:rsidR="00486DE4" w:rsidRDefault="00486DE4" w:rsidP="005A2054">
            <w:pPr>
              <w:pStyle w:val="Standardowytekst"/>
              <w:numPr>
                <w:ilvl w:val="12"/>
                <w:numId w:val="0"/>
              </w:numPr>
              <w:jc w:val="center"/>
            </w:pPr>
            <w:r>
              <w:t>BN-64/8931-01</w:t>
            </w:r>
          </w:p>
        </w:tc>
      </w:tr>
      <w:tr w:rsidR="00486DE4" w:rsidTr="005A2054">
        <w:trPr>
          <w:cantSplit/>
        </w:trPr>
        <w:tc>
          <w:tcPr>
            <w:tcW w:w="540" w:type="dxa"/>
          </w:tcPr>
          <w:p w:rsidR="00486DE4" w:rsidRDefault="00486DE4" w:rsidP="005A2054">
            <w:pPr>
              <w:pStyle w:val="Standardowytekst"/>
              <w:numPr>
                <w:ilvl w:val="12"/>
                <w:numId w:val="0"/>
              </w:numPr>
              <w:jc w:val="center"/>
            </w:pPr>
            <w:r>
              <w:t>6</w:t>
            </w:r>
          </w:p>
        </w:tc>
        <w:tc>
          <w:tcPr>
            <w:tcW w:w="3089" w:type="dxa"/>
          </w:tcPr>
          <w:p w:rsidR="00486DE4" w:rsidRDefault="00486DE4" w:rsidP="005A2054">
            <w:pPr>
              <w:pStyle w:val="Standardowytekst"/>
              <w:numPr>
                <w:ilvl w:val="12"/>
                <w:numId w:val="0"/>
              </w:numPr>
              <w:jc w:val="left"/>
            </w:pPr>
            <w:r>
              <w:t>Ścieralność w bębnie Los Angeles</w:t>
            </w:r>
          </w:p>
        </w:tc>
        <w:tc>
          <w:tcPr>
            <w:tcW w:w="929" w:type="dxa"/>
            <w:vAlign w:val="bottom"/>
          </w:tcPr>
          <w:p w:rsidR="00486DE4" w:rsidRDefault="00486DE4" w:rsidP="005A2054">
            <w:pPr>
              <w:pStyle w:val="Standardowytekst"/>
              <w:numPr>
                <w:ilvl w:val="12"/>
                <w:numId w:val="0"/>
              </w:numPr>
              <w:jc w:val="center"/>
            </w:pPr>
          </w:p>
        </w:tc>
        <w:tc>
          <w:tcPr>
            <w:tcW w:w="2917" w:type="dxa"/>
            <w:vAlign w:val="bottom"/>
          </w:tcPr>
          <w:p w:rsidR="00486DE4" w:rsidRDefault="00486DE4" w:rsidP="005A2054">
            <w:pPr>
              <w:pStyle w:val="Standardowytekst"/>
              <w:numPr>
                <w:ilvl w:val="12"/>
                <w:numId w:val="0"/>
              </w:numPr>
              <w:jc w:val="center"/>
            </w:pPr>
          </w:p>
        </w:tc>
        <w:tc>
          <w:tcPr>
            <w:tcW w:w="1754" w:type="dxa"/>
            <w:vAlign w:val="bottom"/>
          </w:tcPr>
          <w:p w:rsidR="00486DE4" w:rsidRDefault="00486DE4" w:rsidP="005A2054">
            <w:pPr>
              <w:pStyle w:val="Standardowytekst"/>
              <w:numPr>
                <w:ilvl w:val="12"/>
                <w:numId w:val="0"/>
              </w:numPr>
              <w:jc w:val="center"/>
            </w:pPr>
          </w:p>
        </w:tc>
      </w:tr>
      <w:tr w:rsidR="00486DE4" w:rsidTr="005A2054">
        <w:trPr>
          <w:cantSplit/>
        </w:trPr>
        <w:tc>
          <w:tcPr>
            <w:tcW w:w="540" w:type="dxa"/>
          </w:tcPr>
          <w:p w:rsidR="00486DE4" w:rsidRDefault="00486DE4" w:rsidP="005A2054">
            <w:pPr>
              <w:pStyle w:val="Standardowytekst"/>
              <w:numPr>
                <w:ilvl w:val="12"/>
                <w:numId w:val="0"/>
              </w:numPr>
              <w:jc w:val="center"/>
            </w:pPr>
          </w:p>
        </w:tc>
        <w:tc>
          <w:tcPr>
            <w:tcW w:w="3089" w:type="dxa"/>
          </w:tcPr>
          <w:p w:rsidR="00486DE4" w:rsidRDefault="00486DE4" w:rsidP="005A2054">
            <w:pPr>
              <w:pStyle w:val="Standardowytekst"/>
              <w:numPr>
                <w:ilvl w:val="12"/>
                <w:numId w:val="0"/>
              </w:numPr>
              <w:jc w:val="left"/>
            </w:pPr>
            <w:r>
              <w:t>a) ścieralność całkowita po pełnej liczbie obrotów</w:t>
            </w:r>
          </w:p>
        </w:tc>
        <w:tc>
          <w:tcPr>
            <w:tcW w:w="929" w:type="dxa"/>
            <w:vAlign w:val="bottom"/>
          </w:tcPr>
          <w:p w:rsidR="00486DE4" w:rsidRDefault="00486DE4" w:rsidP="005A2054">
            <w:pPr>
              <w:pStyle w:val="Standardowytekst"/>
              <w:numPr>
                <w:ilvl w:val="12"/>
                <w:numId w:val="0"/>
              </w:numPr>
              <w:jc w:val="center"/>
            </w:pPr>
            <w:r>
              <w:t>% (m/m)</w:t>
            </w:r>
          </w:p>
        </w:tc>
        <w:tc>
          <w:tcPr>
            <w:tcW w:w="2917" w:type="dxa"/>
            <w:vAlign w:val="bottom"/>
          </w:tcPr>
          <w:p w:rsidR="00486DE4" w:rsidRDefault="00486DE4" w:rsidP="005A2054">
            <w:pPr>
              <w:pStyle w:val="Standardowytekst"/>
              <w:numPr>
                <w:ilvl w:val="12"/>
                <w:numId w:val="0"/>
              </w:numPr>
              <w:jc w:val="center"/>
            </w:pPr>
            <w:r>
              <w:t>≤ 35</w:t>
            </w:r>
          </w:p>
        </w:tc>
        <w:tc>
          <w:tcPr>
            <w:tcW w:w="1754" w:type="dxa"/>
            <w:vAlign w:val="bottom"/>
          </w:tcPr>
          <w:p w:rsidR="00486DE4" w:rsidRDefault="00486DE4" w:rsidP="005A2054">
            <w:pPr>
              <w:pStyle w:val="Standardowytekst"/>
              <w:numPr>
                <w:ilvl w:val="12"/>
                <w:numId w:val="0"/>
              </w:numPr>
              <w:jc w:val="center"/>
              <w:rPr>
                <w:sz w:val="18"/>
              </w:rPr>
            </w:pPr>
            <w:r>
              <w:rPr>
                <w:sz w:val="18"/>
              </w:rPr>
              <w:t>PN-B-06714-42</w:t>
            </w:r>
          </w:p>
        </w:tc>
      </w:tr>
      <w:tr w:rsidR="00486DE4" w:rsidTr="005A2054">
        <w:trPr>
          <w:cantSplit/>
        </w:trPr>
        <w:tc>
          <w:tcPr>
            <w:tcW w:w="540" w:type="dxa"/>
          </w:tcPr>
          <w:p w:rsidR="00486DE4" w:rsidRDefault="00486DE4" w:rsidP="005A2054">
            <w:pPr>
              <w:pStyle w:val="Standardowytekst"/>
              <w:numPr>
                <w:ilvl w:val="12"/>
                <w:numId w:val="0"/>
              </w:numPr>
              <w:jc w:val="center"/>
            </w:pPr>
          </w:p>
        </w:tc>
        <w:tc>
          <w:tcPr>
            <w:tcW w:w="3089" w:type="dxa"/>
          </w:tcPr>
          <w:p w:rsidR="00486DE4" w:rsidRDefault="00486DE4" w:rsidP="005A2054">
            <w:pPr>
              <w:pStyle w:val="Standardowytekst"/>
              <w:numPr>
                <w:ilvl w:val="12"/>
                <w:numId w:val="0"/>
              </w:numPr>
              <w:jc w:val="left"/>
            </w:pPr>
            <w:r>
              <w:t>b) wskaźnik równomierności ścierania (ścieralność częściowa po 1/5 pełnej liczby obrotów w stosunku do ścieralności pełnej)</w:t>
            </w:r>
          </w:p>
        </w:tc>
        <w:tc>
          <w:tcPr>
            <w:tcW w:w="929" w:type="dxa"/>
            <w:vAlign w:val="bottom"/>
          </w:tcPr>
          <w:p w:rsidR="00486DE4" w:rsidRDefault="00486DE4" w:rsidP="005A2054">
            <w:pPr>
              <w:pStyle w:val="Standardowytekst"/>
              <w:numPr>
                <w:ilvl w:val="12"/>
                <w:numId w:val="0"/>
              </w:numPr>
              <w:jc w:val="center"/>
            </w:pPr>
            <w:r>
              <w:t>%</w:t>
            </w:r>
          </w:p>
        </w:tc>
        <w:tc>
          <w:tcPr>
            <w:tcW w:w="2917" w:type="dxa"/>
            <w:vAlign w:val="bottom"/>
          </w:tcPr>
          <w:p w:rsidR="00486DE4" w:rsidRDefault="00486DE4" w:rsidP="005A2054">
            <w:pPr>
              <w:pStyle w:val="Standardowytekst"/>
              <w:numPr>
                <w:ilvl w:val="12"/>
                <w:numId w:val="0"/>
              </w:numPr>
              <w:jc w:val="center"/>
            </w:pPr>
            <w:r>
              <w:t>≤ 30</w:t>
            </w:r>
          </w:p>
        </w:tc>
        <w:tc>
          <w:tcPr>
            <w:tcW w:w="1754" w:type="dxa"/>
            <w:vAlign w:val="bottom"/>
          </w:tcPr>
          <w:p w:rsidR="00486DE4" w:rsidRDefault="00486DE4" w:rsidP="005A2054">
            <w:pPr>
              <w:pStyle w:val="Standardowytekst"/>
              <w:numPr>
                <w:ilvl w:val="12"/>
                <w:numId w:val="0"/>
              </w:numPr>
              <w:jc w:val="center"/>
              <w:rPr>
                <w:sz w:val="18"/>
              </w:rPr>
            </w:pPr>
            <w:r>
              <w:rPr>
                <w:sz w:val="18"/>
              </w:rPr>
              <w:t>PN-B-06714-42</w:t>
            </w:r>
          </w:p>
        </w:tc>
      </w:tr>
      <w:tr w:rsidR="00486DE4" w:rsidTr="005A2054">
        <w:trPr>
          <w:cantSplit/>
        </w:trPr>
        <w:tc>
          <w:tcPr>
            <w:tcW w:w="540" w:type="dxa"/>
          </w:tcPr>
          <w:p w:rsidR="00486DE4" w:rsidRDefault="00486DE4" w:rsidP="005A2054">
            <w:pPr>
              <w:pStyle w:val="Standardowytekst"/>
              <w:numPr>
                <w:ilvl w:val="12"/>
                <w:numId w:val="0"/>
              </w:numPr>
              <w:jc w:val="center"/>
            </w:pPr>
            <w:r>
              <w:t>7</w:t>
            </w:r>
          </w:p>
        </w:tc>
        <w:tc>
          <w:tcPr>
            <w:tcW w:w="3089" w:type="dxa"/>
          </w:tcPr>
          <w:p w:rsidR="00486DE4" w:rsidRDefault="00486DE4" w:rsidP="005A2054">
            <w:pPr>
              <w:pStyle w:val="Standardowytekst"/>
              <w:numPr>
                <w:ilvl w:val="12"/>
                <w:numId w:val="0"/>
              </w:numPr>
              <w:jc w:val="left"/>
            </w:pPr>
            <w:r>
              <w:t>Nasiąkliwość</w:t>
            </w:r>
          </w:p>
        </w:tc>
        <w:tc>
          <w:tcPr>
            <w:tcW w:w="929" w:type="dxa"/>
            <w:vAlign w:val="bottom"/>
          </w:tcPr>
          <w:p w:rsidR="00486DE4" w:rsidRDefault="00486DE4" w:rsidP="005A2054">
            <w:pPr>
              <w:pStyle w:val="Standardowytekst"/>
              <w:numPr>
                <w:ilvl w:val="12"/>
                <w:numId w:val="0"/>
              </w:numPr>
              <w:jc w:val="center"/>
            </w:pPr>
            <w:r>
              <w:t>% (m/m)</w:t>
            </w:r>
          </w:p>
        </w:tc>
        <w:tc>
          <w:tcPr>
            <w:tcW w:w="2917" w:type="dxa"/>
            <w:vAlign w:val="bottom"/>
          </w:tcPr>
          <w:p w:rsidR="00486DE4" w:rsidRDefault="00486DE4" w:rsidP="005A2054">
            <w:pPr>
              <w:pStyle w:val="Standardowytekst"/>
              <w:numPr>
                <w:ilvl w:val="12"/>
                <w:numId w:val="0"/>
              </w:numPr>
              <w:jc w:val="center"/>
            </w:pPr>
            <w:r>
              <w:t>≤ 3</w:t>
            </w:r>
          </w:p>
        </w:tc>
        <w:tc>
          <w:tcPr>
            <w:tcW w:w="1754" w:type="dxa"/>
            <w:vAlign w:val="bottom"/>
          </w:tcPr>
          <w:p w:rsidR="00486DE4" w:rsidRDefault="00486DE4" w:rsidP="005A2054">
            <w:pPr>
              <w:pStyle w:val="Standardowytekst"/>
              <w:numPr>
                <w:ilvl w:val="12"/>
                <w:numId w:val="0"/>
              </w:numPr>
              <w:jc w:val="center"/>
            </w:pPr>
            <w:r>
              <w:t>PN-B-06714-18</w:t>
            </w:r>
          </w:p>
        </w:tc>
      </w:tr>
      <w:tr w:rsidR="00486DE4" w:rsidTr="005A2054">
        <w:trPr>
          <w:cantSplit/>
        </w:trPr>
        <w:tc>
          <w:tcPr>
            <w:tcW w:w="540" w:type="dxa"/>
          </w:tcPr>
          <w:p w:rsidR="00486DE4" w:rsidRDefault="00486DE4" w:rsidP="005A2054">
            <w:pPr>
              <w:pStyle w:val="Standardowytekst"/>
              <w:numPr>
                <w:ilvl w:val="12"/>
                <w:numId w:val="0"/>
              </w:numPr>
              <w:jc w:val="center"/>
            </w:pPr>
            <w:r>
              <w:t>8</w:t>
            </w:r>
          </w:p>
        </w:tc>
        <w:tc>
          <w:tcPr>
            <w:tcW w:w="3089" w:type="dxa"/>
          </w:tcPr>
          <w:p w:rsidR="00486DE4" w:rsidRDefault="00486DE4" w:rsidP="005A2054">
            <w:pPr>
              <w:pStyle w:val="Standardowytekst"/>
              <w:numPr>
                <w:ilvl w:val="12"/>
                <w:numId w:val="0"/>
              </w:numPr>
              <w:jc w:val="left"/>
            </w:pPr>
            <w:r>
              <w:t>Mrozoodporność, ubytek masy po 25 cyklach zamrażania w wodzie</w:t>
            </w:r>
          </w:p>
        </w:tc>
        <w:tc>
          <w:tcPr>
            <w:tcW w:w="929" w:type="dxa"/>
            <w:vAlign w:val="bottom"/>
          </w:tcPr>
          <w:p w:rsidR="00486DE4" w:rsidRDefault="00486DE4" w:rsidP="005A2054">
            <w:pPr>
              <w:pStyle w:val="Standardowytekst"/>
              <w:numPr>
                <w:ilvl w:val="12"/>
                <w:numId w:val="0"/>
              </w:numPr>
              <w:jc w:val="center"/>
            </w:pPr>
            <w:r>
              <w:t>% (m/m)</w:t>
            </w:r>
          </w:p>
        </w:tc>
        <w:tc>
          <w:tcPr>
            <w:tcW w:w="2917" w:type="dxa"/>
            <w:vAlign w:val="bottom"/>
          </w:tcPr>
          <w:p w:rsidR="00486DE4" w:rsidRDefault="00486DE4" w:rsidP="005A2054">
            <w:pPr>
              <w:pStyle w:val="Standardowytekst"/>
              <w:numPr>
                <w:ilvl w:val="12"/>
                <w:numId w:val="0"/>
              </w:numPr>
              <w:jc w:val="center"/>
            </w:pPr>
            <w:r>
              <w:t>≤ 5</w:t>
            </w:r>
          </w:p>
        </w:tc>
        <w:tc>
          <w:tcPr>
            <w:tcW w:w="1754" w:type="dxa"/>
            <w:vAlign w:val="bottom"/>
          </w:tcPr>
          <w:p w:rsidR="00486DE4" w:rsidRDefault="00486DE4" w:rsidP="005A2054">
            <w:pPr>
              <w:pStyle w:val="Standardowytekst"/>
              <w:numPr>
                <w:ilvl w:val="12"/>
                <w:numId w:val="0"/>
              </w:numPr>
              <w:jc w:val="center"/>
            </w:pPr>
            <w:r>
              <w:t>PN-B-06714-19</w:t>
            </w:r>
          </w:p>
        </w:tc>
      </w:tr>
      <w:tr w:rsidR="00486DE4" w:rsidTr="005A2054">
        <w:trPr>
          <w:cantSplit/>
        </w:trPr>
        <w:tc>
          <w:tcPr>
            <w:tcW w:w="540" w:type="dxa"/>
          </w:tcPr>
          <w:p w:rsidR="00486DE4" w:rsidRDefault="00486DE4" w:rsidP="005A2054">
            <w:pPr>
              <w:pStyle w:val="Standardowytekst"/>
              <w:numPr>
                <w:ilvl w:val="12"/>
                <w:numId w:val="0"/>
              </w:numPr>
              <w:jc w:val="center"/>
            </w:pPr>
            <w:r>
              <w:t>9</w:t>
            </w:r>
          </w:p>
        </w:tc>
        <w:tc>
          <w:tcPr>
            <w:tcW w:w="3089" w:type="dxa"/>
          </w:tcPr>
          <w:p w:rsidR="00486DE4" w:rsidRDefault="00486DE4" w:rsidP="005A2054">
            <w:pPr>
              <w:pStyle w:val="Standardowytekst"/>
              <w:numPr>
                <w:ilvl w:val="12"/>
                <w:numId w:val="0"/>
              </w:numPr>
              <w:jc w:val="left"/>
            </w:pPr>
            <w:r>
              <w:t>Zawartość związków siarki w przeliczeniu na SO</w:t>
            </w:r>
            <w:r>
              <w:rPr>
                <w:vertAlign w:val="subscript"/>
              </w:rPr>
              <w:t>3</w:t>
            </w:r>
            <w:r>
              <w:t>,</w:t>
            </w:r>
          </w:p>
        </w:tc>
        <w:tc>
          <w:tcPr>
            <w:tcW w:w="929" w:type="dxa"/>
            <w:vAlign w:val="bottom"/>
          </w:tcPr>
          <w:p w:rsidR="00486DE4" w:rsidRDefault="00486DE4" w:rsidP="005A2054">
            <w:pPr>
              <w:pStyle w:val="Standardowytekst"/>
              <w:numPr>
                <w:ilvl w:val="12"/>
                <w:numId w:val="0"/>
              </w:numPr>
              <w:jc w:val="center"/>
            </w:pPr>
            <w:r>
              <w:t>% (m/m)</w:t>
            </w:r>
          </w:p>
        </w:tc>
        <w:tc>
          <w:tcPr>
            <w:tcW w:w="2917" w:type="dxa"/>
            <w:vAlign w:val="bottom"/>
          </w:tcPr>
          <w:p w:rsidR="00486DE4" w:rsidRDefault="00486DE4" w:rsidP="005A2054">
            <w:pPr>
              <w:pStyle w:val="Standardowytekst"/>
              <w:numPr>
                <w:ilvl w:val="12"/>
                <w:numId w:val="0"/>
              </w:numPr>
              <w:jc w:val="center"/>
            </w:pPr>
            <w:r>
              <w:t>≤ 1</w:t>
            </w:r>
          </w:p>
        </w:tc>
        <w:tc>
          <w:tcPr>
            <w:tcW w:w="1754" w:type="dxa"/>
            <w:vAlign w:val="bottom"/>
          </w:tcPr>
          <w:p w:rsidR="00486DE4" w:rsidRDefault="00486DE4" w:rsidP="005A2054">
            <w:pPr>
              <w:pStyle w:val="Tekstpodstawowy"/>
              <w:jc w:val="center"/>
            </w:pPr>
            <w:r>
              <w:t>PN-B-06714-28</w:t>
            </w:r>
          </w:p>
        </w:tc>
      </w:tr>
      <w:tr w:rsidR="00486DE4" w:rsidTr="005A2054">
        <w:trPr>
          <w:cantSplit/>
        </w:trPr>
        <w:tc>
          <w:tcPr>
            <w:tcW w:w="540" w:type="dxa"/>
          </w:tcPr>
          <w:p w:rsidR="00486DE4" w:rsidRDefault="00486DE4" w:rsidP="005A2054">
            <w:pPr>
              <w:pStyle w:val="Standardowytekst"/>
              <w:numPr>
                <w:ilvl w:val="12"/>
                <w:numId w:val="0"/>
              </w:numPr>
              <w:jc w:val="center"/>
            </w:pPr>
            <w:r>
              <w:t>10</w:t>
            </w:r>
          </w:p>
        </w:tc>
        <w:tc>
          <w:tcPr>
            <w:tcW w:w="3089" w:type="dxa"/>
          </w:tcPr>
          <w:p w:rsidR="00486DE4" w:rsidRDefault="00486DE4" w:rsidP="005A2054">
            <w:pPr>
              <w:pStyle w:val="Standardowytekst"/>
              <w:numPr>
                <w:ilvl w:val="12"/>
                <w:numId w:val="0"/>
              </w:numPr>
              <w:jc w:val="left"/>
            </w:pPr>
            <w:r>
              <w:t>Wskaźnik nośności W</w:t>
            </w:r>
            <w:r>
              <w:rPr>
                <w:vertAlign w:val="subscript"/>
              </w:rPr>
              <w:t>noś</w:t>
            </w:r>
            <w:r>
              <w:t xml:space="preserve"> mieszanki kruszywa, %, nie mniejszy niż:</w:t>
            </w:r>
          </w:p>
          <w:p w:rsidR="00486DE4" w:rsidRDefault="00486DE4" w:rsidP="005A2054">
            <w:pPr>
              <w:pStyle w:val="Standardowytekst"/>
              <w:numPr>
                <w:ilvl w:val="12"/>
                <w:numId w:val="0"/>
              </w:numPr>
              <w:jc w:val="left"/>
            </w:pPr>
            <w:r>
              <w:t xml:space="preserve">-przy zagęszczeniu </w:t>
            </w:r>
            <w:proofErr w:type="spellStart"/>
            <w:r>
              <w:t>I</w:t>
            </w:r>
            <w:r>
              <w:rPr>
                <w:vertAlign w:val="subscript"/>
              </w:rPr>
              <w:t>s</w:t>
            </w:r>
            <w:proofErr w:type="spellEnd"/>
            <w:r>
              <w:sym w:font="Symbol" w:char="F0B3"/>
            </w:r>
            <w:r>
              <w:t>1,03 dla KR4,</w:t>
            </w:r>
          </w:p>
          <w:p w:rsidR="00486DE4" w:rsidRDefault="00486DE4" w:rsidP="005A2054">
            <w:pPr>
              <w:pStyle w:val="Standardowytekst"/>
              <w:numPr>
                <w:ilvl w:val="12"/>
                <w:numId w:val="0"/>
              </w:numPr>
              <w:jc w:val="left"/>
            </w:pPr>
            <w:r>
              <w:t xml:space="preserve">-przy zagęszczeniu </w:t>
            </w:r>
            <w:proofErr w:type="spellStart"/>
            <w:r>
              <w:t>I</w:t>
            </w:r>
            <w:r>
              <w:rPr>
                <w:vertAlign w:val="subscript"/>
              </w:rPr>
              <w:t>s</w:t>
            </w:r>
            <w:proofErr w:type="spellEnd"/>
            <w:r>
              <w:sym w:font="Symbol" w:char="F0B3"/>
            </w:r>
            <w:r>
              <w:t>1,0 dla KR1,</w:t>
            </w:r>
          </w:p>
        </w:tc>
        <w:tc>
          <w:tcPr>
            <w:tcW w:w="929" w:type="dxa"/>
          </w:tcPr>
          <w:p w:rsidR="00486DE4" w:rsidRDefault="00486DE4" w:rsidP="005A2054">
            <w:pPr>
              <w:pStyle w:val="Standardowytekst"/>
              <w:numPr>
                <w:ilvl w:val="12"/>
                <w:numId w:val="0"/>
              </w:numPr>
              <w:jc w:val="center"/>
            </w:pPr>
          </w:p>
          <w:p w:rsidR="00486DE4" w:rsidRDefault="00486DE4" w:rsidP="005A2054">
            <w:pPr>
              <w:pStyle w:val="Standardowytekst"/>
              <w:numPr>
                <w:ilvl w:val="12"/>
                <w:numId w:val="0"/>
              </w:numPr>
              <w:jc w:val="center"/>
            </w:pPr>
          </w:p>
          <w:p w:rsidR="00486DE4" w:rsidRDefault="00486DE4" w:rsidP="005A2054">
            <w:pPr>
              <w:pStyle w:val="Standardowytekst"/>
              <w:numPr>
                <w:ilvl w:val="12"/>
                <w:numId w:val="0"/>
              </w:numPr>
              <w:jc w:val="center"/>
            </w:pPr>
            <w:r>
              <w:t>%</w:t>
            </w:r>
          </w:p>
          <w:p w:rsidR="00486DE4" w:rsidRDefault="00486DE4" w:rsidP="005A2054">
            <w:pPr>
              <w:pStyle w:val="Standardowytekst"/>
              <w:numPr>
                <w:ilvl w:val="12"/>
                <w:numId w:val="0"/>
              </w:numPr>
              <w:jc w:val="center"/>
            </w:pPr>
            <w:r>
              <w:t>%</w:t>
            </w:r>
          </w:p>
        </w:tc>
        <w:tc>
          <w:tcPr>
            <w:tcW w:w="2917" w:type="dxa"/>
          </w:tcPr>
          <w:p w:rsidR="00486DE4" w:rsidRDefault="00486DE4" w:rsidP="005A2054">
            <w:pPr>
              <w:pStyle w:val="Standardowytekst"/>
              <w:numPr>
                <w:ilvl w:val="12"/>
                <w:numId w:val="0"/>
              </w:numPr>
              <w:jc w:val="center"/>
            </w:pPr>
          </w:p>
          <w:p w:rsidR="00486DE4" w:rsidRDefault="00486DE4" w:rsidP="005A2054">
            <w:pPr>
              <w:pStyle w:val="Standardowytekst"/>
              <w:numPr>
                <w:ilvl w:val="12"/>
                <w:numId w:val="0"/>
              </w:numPr>
              <w:jc w:val="center"/>
            </w:pPr>
          </w:p>
          <w:p w:rsidR="00486DE4" w:rsidRDefault="00486DE4" w:rsidP="005A2054">
            <w:pPr>
              <w:pStyle w:val="Standardowytekst"/>
              <w:numPr>
                <w:ilvl w:val="12"/>
                <w:numId w:val="0"/>
              </w:numPr>
              <w:jc w:val="center"/>
            </w:pPr>
            <w:r>
              <w:t>120</w:t>
            </w:r>
          </w:p>
          <w:p w:rsidR="00486DE4" w:rsidRDefault="00486DE4" w:rsidP="005A2054">
            <w:pPr>
              <w:pStyle w:val="Standardowytekst"/>
              <w:numPr>
                <w:ilvl w:val="12"/>
                <w:numId w:val="0"/>
              </w:numPr>
              <w:jc w:val="center"/>
            </w:pPr>
            <w:r>
              <w:t>80</w:t>
            </w:r>
          </w:p>
        </w:tc>
        <w:tc>
          <w:tcPr>
            <w:tcW w:w="1754" w:type="dxa"/>
          </w:tcPr>
          <w:p w:rsidR="00486DE4" w:rsidRDefault="00486DE4" w:rsidP="005A2054">
            <w:pPr>
              <w:pStyle w:val="Tekstpodstawowy"/>
              <w:jc w:val="center"/>
            </w:pPr>
          </w:p>
          <w:p w:rsidR="00486DE4" w:rsidRDefault="00486DE4" w:rsidP="005A2054">
            <w:pPr>
              <w:pStyle w:val="Tekstpodstawowy"/>
              <w:jc w:val="center"/>
            </w:pPr>
          </w:p>
          <w:p w:rsidR="00486DE4" w:rsidRDefault="00486DE4" w:rsidP="005A2054">
            <w:pPr>
              <w:pStyle w:val="Tekstpodstawowy"/>
              <w:jc w:val="center"/>
            </w:pPr>
            <w:r>
              <w:t>PN-S-06714-28</w:t>
            </w:r>
          </w:p>
        </w:tc>
      </w:tr>
    </w:tbl>
    <w:p w:rsidR="00486DE4" w:rsidRDefault="00486DE4" w:rsidP="00486DE4">
      <w:pPr>
        <w:pStyle w:val="Standardowytekst"/>
        <w:numPr>
          <w:ilvl w:val="12"/>
          <w:numId w:val="0"/>
        </w:numPr>
        <w:ind w:left="810"/>
        <w:rPr>
          <w:sz w:val="24"/>
        </w:rPr>
      </w:pPr>
    </w:p>
    <w:p w:rsidR="00486DE4" w:rsidRPr="00C0155B" w:rsidRDefault="00486DE4" w:rsidP="00486DE4">
      <w:pPr>
        <w:pStyle w:val="Nagwek3"/>
        <w:rPr>
          <w:rFonts w:asciiTheme="minorHAnsi" w:hAnsiTheme="minorHAnsi" w:cstheme="minorHAnsi"/>
        </w:rPr>
      </w:pPr>
      <w:r w:rsidRPr="00C0155B">
        <w:rPr>
          <w:rFonts w:asciiTheme="minorHAnsi" w:hAnsiTheme="minorHAnsi" w:cstheme="minorHAnsi"/>
        </w:rPr>
        <w:lastRenderedPageBreak/>
        <w:t>Woda</w:t>
      </w:r>
    </w:p>
    <w:p w:rsidR="00486DE4" w:rsidRDefault="00486DE4" w:rsidP="00486DE4">
      <w:pPr>
        <w:pStyle w:val="Standardowytekst"/>
        <w:numPr>
          <w:ilvl w:val="12"/>
          <w:numId w:val="0"/>
        </w:numPr>
        <w:ind w:left="810"/>
        <w:rPr>
          <w:sz w:val="24"/>
        </w:rPr>
      </w:pP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Należy stosować wodę spełniającą wymagania PN-EN 1008:2004.</w:t>
      </w:r>
    </w:p>
    <w:p w:rsidR="00486DE4" w:rsidRDefault="00486DE4" w:rsidP="00486DE4">
      <w:pPr>
        <w:pStyle w:val="Standardowytekst"/>
        <w:numPr>
          <w:ilvl w:val="12"/>
          <w:numId w:val="0"/>
        </w:numPr>
        <w:ind w:left="810"/>
        <w:rPr>
          <w:sz w:val="24"/>
        </w:rPr>
      </w:pPr>
    </w:p>
    <w:p w:rsidR="00486DE4" w:rsidRDefault="00486DE4" w:rsidP="00486DE4">
      <w:pPr>
        <w:pStyle w:val="Standardowytekst"/>
        <w:numPr>
          <w:ilvl w:val="12"/>
          <w:numId w:val="0"/>
        </w:numPr>
        <w:ind w:left="810"/>
        <w:rPr>
          <w:sz w:val="24"/>
        </w:rPr>
      </w:pPr>
    </w:p>
    <w:p w:rsidR="00486DE4" w:rsidRPr="00C0155B" w:rsidRDefault="00486DE4" w:rsidP="00486DE4">
      <w:pPr>
        <w:pStyle w:val="Nagwek1"/>
        <w:numPr>
          <w:ilvl w:val="0"/>
          <w:numId w:val="2"/>
        </w:numPr>
        <w:tabs>
          <w:tab w:val="num" w:pos="540"/>
        </w:tabs>
        <w:rPr>
          <w:rFonts w:asciiTheme="minorHAnsi" w:hAnsiTheme="minorHAnsi" w:cstheme="minorHAnsi"/>
        </w:rPr>
      </w:pPr>
      <w:r>
        <w:rPr>
          <w:rFonts w:asciiTheme="minorHAnsi" w:hAnsiTheme="minorHAnsi" w:cstheme="minorHAnsi"/>
        </w:rPr>
        <w:t>S</w:t>
      </w:r>
      <w:r w:rsidRPr="00C0155B">
        <w:rPr>
          <w:rFonts w:asciiTheme="minorHAnsi" w:hAnsiTheme="minorHAnsi" w:cstheme="minorHAnsi"/>
        </w:rPr>
        <w:t>przęt</w:t>
      </w:r>
    </w:p>
    <w:p w:rsidR="00486DE4" w:rsidRDefault="00486DE4" w:rsidP="00486DE4"/>
    <w:p w:rsidR="00486DE4" w:rsidRPr="00C0155B" w:rsidRDefault="00486DE4" w:rsidP="00486DE4">
      <w:pPr>
        <w:pStyle w:val="Nagwek2"/>
        <w:rPr>
          <w:rFonts w:asciiTheme="minorHAnsi" w:hAnsiTheme="minorHAnsi" w:cstheme="minorHAnsi"/>
          <w:u w:val="single"/>
        </w:rPr>
      </w:pPr>
      <w:r w:rsidRPr="00C0155B">
        <w:rPr>
          <w:rFonts w:asciiTheme="minorHAnsi" w:hAnsiTheme="minorHAnsi" w:cstheme="minorHAnsi"/>
          <w:u w:val="single"/>
        </w:rPr>
        <w:t>Ogólne wymagania dotyczące sprzętu</w:t>
      </w:r>
    </w:p>
    <w:p w:rsidR="00486DE4" w:rsidRDefault="00486DE4" w:rsidP="00486DE4"/>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Ogólne wymagania dotyczące sprzętu podano w ST D-M 00.00.00 „Wymagania ogólne” punkt 3.</w:t>
      </w:r>
    </w:p>
    <w:p w:rsidR="00486DE4" w:rsidRDefault="00486DE4" w:rsidP="00486DE4">
      <w:pPr>
        <w:pStyle w:val="Standardowytekst"/>
        <w:numPr>
          <w:ilvl w:val="12"/>
          <w:numId w:val="0"/>
        </w:numPr>
        <w:ind w:left="540"/>
        <w:rPr>
          <w:sz w:val="24"/>
        </w:rPr>
      </w:pPr>
    </w:p>
    <w:p w:rsidR="00486DE4" w:rsidRPr="00C0155B" w:rsidRDefault="00486DE4" w:rsidP="00486DE4">
      <w:pPr>
        <w:pStyle w:val="Nagwek2"/>
        <w:rPr>
          <w:rFonts w:asciiTheme="minorHAnsi" w:hAnsiTheme="minorHAnsi" w:cstheme="minorHAnsi"/>
          <w:u w:val="single"/>
        </w:rPr>
      </w:pPr>
      <w:r w:rsidRPr="00C0155B">
        <w:rPr>
          <w:rFonts w:asciiTheme="minorHAnsi" w:hAnsiTheme="minorHAnsi" w:cstheme="minorHAnsi"/>
          <w:u w:val="single"/>
        </w:rPr>
        <w:t>Sprzęt do wykonania robót</w:t>
      </w:r>
    </w:p>
    <w:p w:rsidR="00486DE4" w:rsidRPr="00C0155B" w:rsidRDefault="00486DE4" w:rsidP="00486DE4">
      <w:pPr>
        <w:rPr>
          <w:rFonts w:asciiTheme="minorHAnsi" w:hAnsiTheme="minorHAnsi" w:cstheme="minorHAnsi"/>
        </w:rPr>
      </w:pPr>
    </w:p>
    <w:p w:rsidR="00486DE4" w:rsidRPr="00C0155B" w:rsidRDefault="00486DE4" w:rsidP="00486DE4">
      <w:pPr>
        <w:pStyle w:val="Standardowytekst"/>
        <w:numPr>
          <w:ilvl w:val="12"/>
          <w:numId w:val="0"/>
        </w:numPr>
        <w:ind w:left="540"/>
        <w:rPr>
          <w:rFonts w:asciiTheme="minorHAnsi" w:hAnsiTheme="minorHAnsi" w:cstheme="minorHAnsi"/>
          <w:sz w:val="24"/>
        </w:rPr>
      </w:pPr>
      <w:r w:rsidRPr="00C0155B">
        <w:rPr>
          <w:rFonts w:asciiTheme="minorHAnsi" w:hAnsiTheme="minorHAnsi" w:cstheme="minorHAnsi"/>
          <w:sz w:val="24"/>
        </w:rPr>
        <w:t>Wykonawca przystępujący do wykonania podbudowy z kruszyw stabilizowanych mechanicznie powinien wykazać się możliwością korzystania z następującego sprzętu:</w:t>
      </w:r>
    </w:p>
    <w:p w:rsidR="00486DE4" w:rsidRPr="00C0155B" w:rsidRDefault="00486DE4" w:rsidP="00486DE4">
      <w:pPr>
        <w:pStyle w:val="Standardowytekst"/>
        <w:numPr>
          <w:ilvl w:val="12"/>
          <w:numId w:val="0"/>
        </w:numPr>
        <w:ind w:left="540"/>
        <w:rPr>
          <w:rFonts w:asciiTheme="minorHAnsi" w:hAnsiTheme="minorHAnsi" w:cstheme="minorHAnsi"/>
          <w:sz w:val="24"/>
        </w:rPr>
      </w:pPr>
    </w:p>
    <w:p w:rsidR="00486DE4" w:rsidRPr="00C0155B" w:rsidRDefault="00486DE4" w:rsidP="00486DE4">
      <w:pPr>
        <w:numPr>
          <w:ilvl w:val="0"/>
          <w:numId w:val="3"/>
        </w:numPr>
        <w:spacing w:line="240" w:lineRule="auto"/>
        <w:rPr>
          <w:rFonts w:asciiTheme="minorHAnsi" w:hAnsiTheme="minorHAnsi" w:cstheme="minorHAnsi"/>
        </w:rPr>
      </w:pPr>
      <w:r w:rsidRPr="00C0155B">
        <w:rPr>
          <w:rFonts w:asciiTheme="minorHAnsi" w:hAnsiTheme="minorHAnsi" w:cstheme="minorHAnsi"/>
        </w:rPr>
        <w:t xml:space="preserve">mieszarek do wytwarzania mieszanki, wyposażonych w urządzenia dozujące wodę; mieszarki powinny zapewnić wytworzenie jednorodnej mieszanki o wilgotności optymalnej; (można dostarczać mieszankę o optymalnym uziarnieniu bezpośrednio z kamieniołomu po akceptacji Inżyniera) </w:t>
      </w:r>
    </w:p>
    <w:p w:rsidR="00486DE4" w:rsidRPr="00C0155B" w:rsidRDefault="00486DE4" w:rsidP="00486DE4">
      <w:pPr>
        <w:numPr>
          <w:ilvl w:val="0"/>
          <w:numId w:val="3"/>
        </w:numPr>
        <w:spacing w:line="240" w:lineRule="auto"/>
        <w:rPr>
          <w:rFonts w:asciiTheme="minorHAnsi" w:hAnsiTheme="minorHAnsi" w:cstheme="minorHAnsi"/>
        </w:rPr>
      </w:pPr>
      <w:r w:rsidRPr="00C0155B">
        <w:rPr>
          <w:rFonts w:asciiTheme="minorHAnsi" w:hAnsiTheme="minorHAnsi" w:cstheme="minorHAnsi"/>
        </w:rPr>
        <w:t>równiarek albo układarek do rozkładania mieszanki,</w:t>
      </w:r>
    </w:p>
    <w:p w:rsidR="00486DE4" w:rsidRPr="00C0155B" w:rsidRDefault="00486DE4" w:rsidP="00486DE4">
      <w:pPr>
        <w:numPr>
          <w:ilvl w:val="0"/>
          <w:numId w:val="3"/>
        </w:numPr>
        <w:spacing w:line="240" w:lineRule="auto"/>
        <w:rPr>
          <w:rFonts w:asciiTheme="minorHAnsi" w:hAnsiTheme="minorHAnsi" w:cstheme="minorHAnsi"/>
        </w:rPr>
      </w:pPr>
      <w:r w:rsidRPr="00C0155B">
        <w:rPr>
          <w:rFonts w:asciiTheme="minorHAnsi" w:hAnsiTheme="minorHAnsi" w:cstheme="minorHAnsi"/>
        </w:rPr>
        <w:t>walców ogumionych i stalowych statycznych do zagęszczania. W miejscach trudno dostępnych powinny być stosowane zagęszczarki płytowe, ubijaki mechaniczne.</w:t>
      </w:r>
    </w:p>
    <w:p w:rsidR="00486DE4" w:rsidRDefault="00486DE4" w:rsidP="00486DE4">
      <w:pPr>
        <w:ind w:left="810"/>
      </w:pPr>
    </w:p>
    <w:p w:rsidR="00486DE4" w:rsidRPr="00C0155B" w:rsidRDefault="00486DE4" w:rsidP="00486DE4">
      <w:pPr>
        <w:pStyle w:val="Nagwek1"/>
        <w:numPr>
          <w:ilvl w:val="0"/>
          <w:numId w:val="2"/>
        </w:numPr>
        <w:tabs>
          <w:tab w:val="num" w:pos="540"/>
        </w:tabs>
        <w:rPr>
          <w:rFonts w:asciiTheme="minorHAnsi" w:hAnsiTheme="minorHAnsi" w:cstheme="minorHAnsi"/>
        </w:rPr>
      </w:pPr>
      <w:r w:rsidRPr="00C0155B">
        <w:rPr>
          <w:rFonts w:asciiTheme="minorHAnsi" w:hAnsiTheme="minorHAnsi" w:cstheme="minorHAnsi"/>
        </w:rPr>
        <w:t>Transport</w:t>
      </w:r>
    </w:p>
    <w:p w:rsidR="00486DE4" w:rsidRDefault="00486DE4" w:rsidP="00486DE4"/>
    <w:p w:rsidR="00486DE4" w:rsidRPr="00C0155B" w:rsidRDefault="00486DE4" w:rsidP="00486DE4">
      <w:pPr>
        <w:pStyle w:val="Nagwek2"/>
        <w:rPr>
          <w:rFonts w:asciiTheme="minorHAnsi" w:hAnsiTheme="minorHAnsi" w:cstheme="minorHAnsi"/>
          <w:u w:val="single"/>
        </w:rPr>
      </w:pPr>
      <w:r w:rsidRPr="00C0155B">
        <w:rPr>
          <w:rFonts w:asciiTheme="minorHAnsi" w:hAnsiTheme="minorHAnsi" w:cstheme="minorHAnsi"/>
          <w:u w:val="single"/>
        </w:rPr>
        <w:t>Ogólne wymagania dotyczące transportu</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Ogólne wymagania dotyczące transportu podano w ST D-M 00.00.00 „Wymagania ogólne” punkt 4.</w:t>
      </w:r>
    </w:p>
    <w:p w:rsidR="00486DE4" w:rsidRDefault="00486DE4" w:rsidP="00486DE4">
      <w:pPr>
        <w:pStyle w:val="Standardowytekst"/>
        <w:numPr>
          <w:ilvl w:val="12"/>
          <w:numId w:val="0"/>
        </w:numPr>
        <w:ind w:left="540"/>
        <w:rPr>
          <w:sz w:val="24"/>
        </w:rPr>
      </w:pPr>
    </w:p>
    <w:p w:rsidR="00486DE4" w:rsidRPr="00C0155B" w:rsidRDefault="00486DE4" w:rsidP="00486DE4">
      <w:pPr>
        <w:pStyle w:val="Nagwek2"/>
        <w:rPr>
          <w:rFonts w:asciiTheme="minorHAnsi" w:hAnsiTheme="minorHAnsi" w:cstheme="minorHAnsi"/>
          <w:u w:val="single"/>
        </w:rPr>
      </w:pPr>
      <w:r w:rsidRPr="00C0155B">
        <w:rPr>
          <w:rFonts w:asciiTheme="minorHAnsi" w:hAnsiTheme="minorHAnsi" w:cstheme="minorHAnsi"/>
          <w:u w:val="single"/>
        </w:rPr>
        <w:t>Transport materiałów</w:t>
      </w:r>
    </w:p>
    <w:p w:rsidR="00486DE4"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Kruszywa można przewozić dowolnymi środkami transportu w warunkach zabezpieczających je przed zanieczyszczeniem, zmieszaniem z innymi materiałami, nadmiernym wysuszeniem i zawilgoceniem.</w:t>
      </w:r>
    </w:p>
    <w:p w:rsidR="00486DE4" w:rsidRDefault="00486DE4" w:rsidP="00486DE4"/>
    <w:p w:rsidR="00486DE4" w:rsidRDefault="00486DE4" w:rsidP="00486DE4"/>
    <w:p w:rsidR="00486DE4" w:rsidRPr="00C0155B" w:rsidRDefault="00486DE4" w:rsidP="00486DE4"/>
    <w:p w:rsidR="00486DE4" w:rsidRDefault="00486DE4" w:rsidP="00486DE4">
      <w:pPr>
        <w:pStyle w:val="Standardowytekst"/>
        <w:numPr>
          <w:ilvl w:val="12"/>
          <w:numId w:val="0"/>
        </w:numPr>
        <w:ind w:left="540"/>
        <w:rPr>
          <w:sz w:val="24"/>
        </w:rPr>
      </w:pPr>
    </w:p>
    <w:p w:rsidR="00486DE4" w:rsidRPr="00C0155B" w:rsidRDefault="00486DE4" w:rsidP="00486DE4">
      <w:pPr>
        <w:pStyle w:val="Nagwek1"/>
        <w:numPr>
          <w:ilvl w:val="0"/>
          <w:numId w:val="2"/>
        </w:numPr>
        <w:tabs>
          <w:tab w:val="num" w:pos="540"/>
        </w:tabs>
        <w:rPr>
          <w:rFonts w:asciiTheme="minorHAnsi" w:hAnsiTheme="minorHAnsi" w:cstheme="minorHAnsi"/>
        </w:rPr>
      </w:pPr>
      <w:r w:rsidRPr="00C0155B">
        <w:rPr>
          <w:rFonts w:asciiTheme="minorHAnsi" w:hAnsiTheme="minorHAnsi" w:cstheme="minorHAnsi"/>
        </w:rPr>
        <w:lastRenderedPageBreak/>
        <w:t>Wykonanie robót</w:t>
      </w:r>
    </w:p>
    <w:p w:rsidR="00486DE4" w:rsidRDefault="00486DE4" w:rsidP="00486DE4"/>
    <w:p w:rsidR="00486DE4" w:rsidRPr="00C0155B" w:rsidRDefault="00486DE4" w:rsidP="00486DE4">
      <w:pPr>
        <w:pStyle w:val="Nagwek2"/>
        <w:tabs>
          <w:tab w:val="num" w:pos="540"/>
        </w:tabs>
        <w:rPr>
          <w:rFonts w:asciiTheme="minorHAnsi" w:hAnsiTheme="minorHAnsi" w:cstheme="minorHAnsi"/>
          <w:u w:val="single"/>
        </w:rPr>
      </w:pPr>
      <w:r w:rsidRPr="00C0155B">
        <w:rPr>
          <w:rFonts w:asciiTheme="minorHAnsi" w:hAnsiTheme="minorHAnsi" w:cstheme="minorHAnsi"/>
          <w:u w:val="single"/>
        </w:rPr>
        <w:t>Ogólne zasady wykonania robót</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Ogólne zasady wykonania robót podano w ST D-M 00.00.00 „Wymagania ogólne” punkt 5.</w:t>
      </w:r>
    </w:p>
    <w:p w:rsidR="00486DE4" w:rsidRDefault="00486DE4" w:rsidP="00486DE4">
      <w:pPr>
        <w:pStyle w:val="Standardowytekst"/>
        <w:numPr>
          <w:ilvl w:val="12"/>
          <w:numId w:val="0"/>
        </w:numPr>
        <w:ind w:left="540"/>
        <w:rPr>
          <w:sz w:val="24"/>
        </w:rPr>
      </w:pPr>
    </w:p>
    <w:p w:rsidR="00486DE4" w:rsidRPr="00C0155B" w:rsidRDefault="00486DE4" w:rsidP="00486DE4">
      <w:pPr>
        <w:pStyle w:val="Nagwek2"/>
        <w:tabs>
          <w:tab w:val="num" w:pos="540"/>
        </w:tabs>
        <w:rPr>
          <w:rFonts w:asciiTheme="minorHAnsi" w:hAnsiTheme="minorHAnsi" w:cstheme="minorHAnsi"/>
          <w:u w:val="single"/>
        </w:rPr>
      </w:pPr>
      <w:r w:rsidRPr="00C0155B">
        <w:rPr>
          <w:rFonts w:asciiTheme="minorHAnsi" w:hAnsiTheme="minorHAnsi" w:cstheme="minorHAnsi"/>
          <w:u w:val="single"/>
        </w:rPr>
        <w:t>Przygotowanie podłoża</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Podłoże pod podbudowę z kruszywa łamanego stabilizowanego mechanicznie stanowi warstwa stabilizowana cementem i przed przystąpieniem do robót musi być odebrana zgodnie z ST D.04.05.01. punkt 8.</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Paliki lub szpilki do prawidłowego ukształtowania podbudowy powinny być wcześniej przygotowane.</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Paliki lub szpilki powinny być ustawione w osi drogi i w rzędach równoległych do osi drogi, lub w inny sposób zaakceptowany przez Inżyniera.</w:t>
      </w:r>
    </w:p>
    <w:p w:rsidR="00486DE4" w:rsidRPr="00C0155B"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0155B">
        <w:rPr>
          <w:rFonts w:asciiTheme="minorHAnsi" w:hAnsiTheme="minorHAnsi" w:cstheme="minorHAnsi"/>
          <w:spacing w:val="-3"/>
          <w:sz w:val="24"/>
          <w:szCs w:val="24"/>
        </w:rPr>
        <w:t>Rozmieszczenie palików lub szpilek powinno umożliwiać naciągnięcie sznurków lub linek do wytyczenia robót w odstępach nie większych niż co 10 m.</w:t>
      </w:r>
    </w:p>
    <w:p w:rsidR="00486DE4" w:rsidRDefault="00486DE4" w:rsidP="00486DE4">
      <w:pPr>
        <w:pStyle w:val="Standardowytekst"/>
        <w:numPr>
          <w:ilvl w:val="12"/>
          <w:numId w:val="0"/>
        </w:numPr>
        <w:ind w:left="540"/>
        <w:rPr>
          <w:sz w:val="24"/>
        </w:rPr>
      </w:pPr>
    </w:p>
    <w:p w:rsidR="00486DE4" w:rsidRPr="00C0155B" w:rsidRDefault="00486DE4" w:rsidP="00486DE4">
      <w:pPr>
        <w:pStyle w:val="Nagwek2"/>
        <w:tabs>
          <w:tab w:val="num" w:pos="540"/>
        </w:tabs>
        <w:rPr>
          <w:rFonts w:asciiTheme="minorHAnsi" w:hAnsiTheme="minorHAnsi" w:cstheme="minorHAnsi"/>
          <w:u w:val="single"/>
        </w:rPr>
      </w:pPr>
      <w:r w:rsidRPr="00C0155B">
        <w:rPr>
          <w:rFonts w:asciiTheme="minorHAnsi" w:hAnsiTheme="minorHAnsi" w:cstheme="minorHAnsi"/>
          <w:u w:val="single"/>
        </w:rPr>
        <w:t>Wytwarzanie mieszanki kruszywa</w:t>
      </w: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 xml:space="preserve">Mieszankę kruszywa o ściśle określonym uziarnieniu i wilgotności optymalnej należy wytwarzać w mieszarkach gwarantujących otrzymanie jednorodnej mieszanki lub uzyskiwać z </w:t>
      </w:r>
      <w:proofErr w:type="spellStart"/>
      <w:r w:rsidRPr="00B029BA">
        <w:rPr>
          <w:rFonts w:asciiTheme="minorHAnsi" w:hAnsiTheme="minorHAnsi" w:cstheme="minorHAnsi"/>
          <w:spacing w:val="-3"/>
          <w:sz w:val="24"/>
          <w:szCs w:val="24"/>
        </w:rPr>
        <w:t>przekruszenia</w:t>
      </w:r>
      <w:proofErr w:type="spellEnd"/>
      <w:r w:rsidRPr="00B029BA">
        <w:rPr>
          <w:rFonts w:asciiTheme="minorHAnsi" w:hAnsiTheme="minorHAnsi" w:cstheme="minorHAnsi"/>
          <w:spacing w:val="-3"/>
          <w:sz w:val="24"/>
          <w:szCs w:val="24"/>
        </w:rPr>
        <w:t xml:space="preserve"> w kamieniołomie.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486DE4" w:rsidRDefault="00486DE4" w:rsidP="00486DE4">
      <w:pPr>
        <w:pStyle w:val="Standardowytekst"/>
        <w:numPr>
          <w:ilvl w:val="12"/>
          <w:numId w:val="0"/>
        </w:numPr>
        <w:ind w:left="540"/>
      </w:pPr>
    </w:p>
    <w:p w:rsidR="00486DE4" w:rsidRPr="00C0155B" w:rsidRDefault="00486DE4" w:rsidP="00486DE4">
      <w:pPr>
        <w:pStyle w:val="Nagwek2"/>
        <w:tabs>
          <w:tab w:val="num" w:pos="540"/>
        </w:tabs>
        <w:rPr>
          <w:rFonts w:asciiTheme="minorHAnsi" w:hAnsiTheme="minorHAnsi" w:cstheme="minorHAnsi"/>
          <w:u w:val="single"/>
        </w:rPr>
      </w:pPr>
      <w:r w:rsidRPr="00C0155B">
        <w:rPr>
          <w:rFonts w:asciiTheme="minorHAnsi" w:hAnsiTheme="minorHAnsi" w:cstheme="minorHAnsi"/>
          <w:u w:val="single"/>
        </w:rPr>
        <w:t>Wbudowywanie i zagęszczanie mieszanki</w:t>
      </w:r>
    </w:p>
    <w:p w:rsidR="00486DE4"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Kruszywo podczas zagęszczania powinno być wilgotne, co umożliwi optymalną pracę walców w celu uzyskania zagęszczenia i nośności na poniższym poziomie:</w:t>
      </w:r>
    </w:p>
    <w:p w:rsidR="00486DE4" w:rsidRDefault="00486DE4" w:rsidP="00486DE4">
      <w:pPr>
        <w:pStyle w:val="Standardowytekst"/>
        <w:numPr>
          <w:ilvl w:val="12"/>
          <w:numId w:val="0"/>
        </w:numPr>
        <w:ind w:left="810" w:hanging="270"/>
        <w:rPr>
          <w:sz w:val="24"/>
        </w:rPr>
      </w:pPr>
      <w:r>
        <w:rPr>
          <w:sz w:val="24"/>
        </w:rPr>
        <w:t>Tablica 2. Cechy podbudowy dotyczące zagęszczenia i nośności</w:t>
      </w:r>
    </w:p>
    <w:tbl>
      <w:tblPr>
        <w:tblW w:w="9158" w:type="dxa"/>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1701"/>
        <w:gridCol w:w="1719"/>
        <w:gridCol w:w="2817"/>
        <w:gridCol w:w="2921"/>
      </w:tblGrid>
      <w:tr w:rsidR="00486DE4" w:rsidTr="005A2054">
        <w:trPr>
          <w:cantSplit/>
        </w:trPr>
        <w:tc>
          <w:tcPr>
            <w:tcW w:w="1701" w:type="dxa"/>
            <w:vMerge w:val="restart"/>
            <w:tcBorders>
              <w:top w:val="double" w:sz="4" w:space="0" w:color="auto"/>
              <w:bottom w:val="single" w:sz="6" w:space="0" w:color="auto"/>
            </w:tcBorders>
            <w:shd w:val="pct5" w:color="auto" w:fill="FFFFFF"/>
          </w:tcPr>
          <w:p w:rsidR="00486DE4" w:rsidRDefault="00486DE4" w:rsidP="005A2054">
            <w:pPr>
              <w:tabs>
                <w:tab w:val="left" w:pos="426"/>
                <w:tab w:val="left" w:pos="709"/>
                <w:tab w:val="left" w:pos="993"/>
              </w:tabs>
              <w:jc w:val="center"/>
              <w:rPr>
                <w:b/>
                <w:sz w:val="20"/>
              </w:rPr>
            </w:pPr>
            <w:r>
              <w:rPr>
                <w:b/>
                <w:sz w:val="20"/>
              </w:rPr>
              <w:t>Podbudowa z kruszywa o wskaźniku Wnoś nie mniejszym niż %</w:t>
            </w:r>
          </w:p>
        </w:tc>
        <w:tc>
          <w:tcPr>
            <w:tcW w:w="7457" w:type="dxa"/>
            <w:gridSpan w:val="3"/>
            <w:tcBorders>
              <w:top w:val="double" w:sz="4" w:space="0" w:color="auto"/>
              <w:bottom w:val="single" w:sz="6" w:space="0" w:color="auto"/>
            </w:tcBorders>
            <w:shd w:val="pct5" w:color="auto" w:fill="FFFFFF"/>
            <w:vAlign w:val="center"/>
          </w:tcPr>
          <w:p w:rsidR="00486DE4" w:rsidRDefault="00486DE4" w:rsidP="005A2054">
            <w:pPr>
              <w:tabs>
                <w:tab w:val="left" w:pos="426"/>
                <w:tab w:val="left" w:pos="709"/>
                <w:tab w:val="left" w:pos="993"/>
              </w:tabs>
              <w:jc w:val="center"/>
              <w:rPr>
                <w:b/>
                <w:sz w:val="20"/>
              </w:rPr>
            </w:pPr>
            <w:r>
              <w:rPr>
                <w:b/>
                <w:sz w:val="20"/>
              </w:rPr>
              <w:t xml:space="preserve">Wymagane cechy podbudowy </w:t>
            </w:r>
          </w:p>
        </w:tc>
      </w:tr>
      <w:tr w:rsidR="00486DE4" w:rsidTr="005A2054">
        <w:trPr>
          <w:cantSplit/>
        </w:trPr>
        <w:tc>
          <w:tcPr>
            <w:tcW w:w="1701" w:type="dxa"/>
            <w:vMerge/>
            <w:tcBorders>
              <w:top w:val="single" w:sz="6" w:space="0" w:color="auto"/>
              <w:bottom w:val="single" w:sz="6" w:space="0" w:color="auto"/>
            </w:tcBorders>
            <w:shd w:val="pct5" w:color="auto" w:fill="FFFFFF"/>
          </w:tcPr>
          <w:p w:rsidR="00486DE4" w:rsidRDefault="00486DE4" w:rsidP="005A2054">
            <w:pPr>
              <w:tabs>
                <w:tab w:val="left" w:pos="426"/>
                <w:tab w:val="left" w:pos="709"/>
                <w:tab w:val="left" w:pos="993"/>
              </w:tabs>
              <w:jc w:val="center"/>
              <w:rPr>
                <w:b/>
                <w:sz w:val="20"/>
              </w:rPr>
            </w:pPr>
          </w:p>
        </w:tc>
        <w:tc>
          <w:tcPr>
            <w:tcW w:w="1719" w:type="dxa"/>
            <w:vMerge w:val="restart"/>
            <w:tcBorders>
              <w:top w:val="single" w:sz="6" w:space="0" w:color="auto"/>
              <w:bottom w:val="single" w:sz="6" w:space="0" w:color="auto"/>
            </w:tcBorders>
            <w:shd w:val="pct5" w:color="auto" w:fill="FFFFFF"/>
          </w:tcPr>
          <w:p w:rsidR="00486DE4" w:rsidRDefault="00486DE4" w:rsidP="005A2054">
            <w:pPr>
              <w:tabs>
                <w:tab w:val="left" w:pos="426"/>
                <w:tab w:val="left" w:pos="709"/>
                <w:tab w:val="left" w:pos="993"/>
              </w:tabs>
              <w:jc w:val="center"/>
              <w:rPr>
                <w:b/>
                <w:sz w:val="20"/>
              </w:rPr>
            </w:pPr>
            <w:r>
              <w:rPr>
                <w:b/>
                <w:sz w:val="20"/>
              </w:rPr>
              <w:t xml:space="preserve">Wskaźnik zagęszczenia </w:t>
            </w:r>
            <w:proofErr w:type="spellStart"/>
            <w:r>
              <w:rPr>
                <w:b/>
                <w:sz w:val="20"/>
              </w:rPr>
              <w:t>Is</w:t>
            </w:r>
            <w:proofErr w:type="spellEnd"/>
            <w:r>
              <w:rPr>
                <w:b/>
                <w:sz w:val="20"/>
              </w:rPr>
              <w:t xml:space="preserve"> nie mniejszy niż;</w:t>
            </w:r>
          </w:p>
        </w:tc>
        <w:tc>
          <w:tcPr>
            <w:tcW w:w="5738" w:type="dxa"/>
            <w:gridSpan w:val="2"/>
            <w:tcBorders>
              <w:top w:val="single" w:sz="6" w:space="0" w:color="auto"/>
              <w:bottom w:val="single" w:sz="6" w:space="0" w:color="auto"/>
            </w:tcBorders>
            <w:shd w:val="pct5" w:color="auto" w:fill="FFFFFF"/>
          </w:tcPr>
          <w:p w:rsidR="00486DE4" w:rsidRDefault="00486DE4" w:rsidP="005A2054">
            <w:pPr>
              <w:tabs>
                <w:tab w:val="left" w:pos="426"/>
                <w:tab w:val="left" w:pos="709"/>
                <w:tab w:val="left" w:pos="993"/>
              </w:tabs>
              <w:jc w:val="center"/>
              <w:rPr>
                <w:b/>
                <w:sz w:val="20"/>
              </w:rPr>
            </w:pPr>
            <w:r>
              <w:rPr>
                <w:b/>
                <w:sz w:val="20"/>
              </w:rPr>
              <w:t xml:space="preserve">Minimalny moduł odkształcenia mierzony płytą o średnicy 30 cm </w:t>
            </w:r>
            <w:proofErr w:type="spellStart"/>
            <w:r>
              <w:rPr>
                <w:b/>
                <w:sz w:val="20"/>
              </w:rPr>
              <w:t>MPa</w:t>
            </w:r>
            <w:proofErr w:type="spellEnd"/>
          </w:p>
        </w:tc>
      </w:tr>
      <w:tr w:rsidR="00486DE4" w:rsidTr="005A2054">
        <w:trPr>
          <w:cantSplit/>
        </w:trPr>
        <w:tc>
          <w:tcPr>
            <w:tcW w:w="1701" w:type="dxa"/>
            <w:vMerge/>
            <w:tcBorders>
              <w:top w:val="single" w:sz="6" w:space="0" w:color="auto"/>
              <w:bottom w:val="single" w:sz="6" w:space="0" w:color="auto"/>
            </w:tcBorders>
            <w:shd w:val="pct5" w:color="auto" w:fill="FFFFFF"/>
          </w:tcPr>
          <w:p w:rsidR="00486DE4" w:rsidRDefault="00486DE4" w:rsidP="005A2054">
            <w:pPr>
              <w:tabs>
                <w:tab w:val="left" w:pos="426"/>
                <w:tab w:val="left" w:pos="709"/>
                <w:tab w:val="left" w:pos="993"/>
              </w:tabs>
              <w:jc w:val="center"/>
              <w:rPr>
                <w:b/>
                <w:sz w:val="20"/>
              </w:rPr>
            </w:pPr>
          </w:p>
        </w:tc>
        <w:tc>
          <w:tcPr>
            <w:tcW w:w="1719" w:type="dxa"/>
            <w:vMerge/>
            <w:tcBorders>
              <w:top w:val="single" w:sz="6" w:space="0" w:color="auto"/>
              <w:bottom w:val="single" w:sz="6" w:space="0" w:color="auto"/>
            </w:tcBorders>
            <w:shd w:val="pct5" w:color="auto" w:fill="FFFFFF"/>
          </w:tcPr>
          <w:p w:rsidR="00486DE4" w:rsidRDefault="00486DE4" w:rsidP="005A2054">
            <w:pPr>
              <w:tabs>
                <w:tab w:val="left" w:pos="426"/>
                <w:tab w:val="left" w:pos="709"/>
                <w:tab w:val="left" w:pos="993"/>
              </w:tabs>
              <w:jc w:val="center"/>
              <w:rPr>
                <w:b/>
                <w:sz w:val="20"/>
              </w:rPr>
            </w:pPr>
          </w:p>
        </w:tc>
        <w:tc>
          <w:tcPr>
            <w:tcW w:w="2817" w:type="dxa"/>
            <w:tcBorders>
              <w:top w:val="single" w:sz="6" w:space="0" w:color="auto"/>
              <w:bottom w:val="single" w:sz="6" w:space="0" w:color="auto"/>
            </w:tcBorders>
            <w:shd w:val="pct5" w:color="auto" w:fill="FFFFFF"/>
            <w:vAlign w:val="center"/>
          </w:tcPr>
          <w:p w:rsidR="00486DE4" w:rsidRDefault="00486DE4" w:rsidP="005A2054">
            <w:pPr>
              <w:tabs>
                <w:tab w:val="left" w:pos="426"/>
                <w:tab w:val="left" w:pos="709"/>
                <w:tab w:val="left" w:pos="993"/>
              </w:tabs>
              <w:jc w:val="center"/>
              <w:rPr>
                <w:b/>
                <w:sz w:val="20"/>
              </w:rPr>
            </w:pPr>
            <w:r>
              <w:rPr>
                <w:b/>
                <w:sz w:val="20"/>
              </w:rPr>
              <w:t>od pierwszego obciążenia E</w:t>
            </w:r>
            <w:r>
              <w:rPr>
                <w:b/>
                <w:sz w:val="20"/>
                <w:vertAlign w:val="subscript"/>
              </w:rPr>
              <w:t>1</w:t>
            </w:r>
          </w:p>
        </w:tc>
        <w:tc>
          <w:tcPr>
            <w:tcW w:w="2921" w:type="dxa"/>
            <w:tcBorders>
              <w:top w:val="single" w:sz="6" w:space="0" w:color="auto"/>
              <w:bottom w:val="single" w:sz="6" w:space="0" w:color="auto"/>
            </w:tcBorders>
            <w:shd w:val="pct5" w:color="auto" w:fill="FFFFFF"/>
          </w:tcPr>
          <w:p w:rsidR="00486DE4" w:rsidRDefault="00486DE4" w:rsidP="005A2054">
            <w:pPr>
              <w:tabs>
                <w:tab w:val="left" w:pos="426"/>
                <w:tab w:val="left" w:pos="709"/>
                <w:tab w:val="left" w:pos="993"/>
              </w:tabs>
              <w:jc w:val="center"/>
              <w:rPr>
                <w:b/>
                <w:sz w:val="20"/>
              </w:rPr>
            </w:pPr>
            <w:r>
              <w:rPr>
                <w:b/>
                <w:sz w:val="20"/>
              </w:rPr>
              <w:t>od drugiego obciążenia E</w:t>
            </w:r>
            <w:r>
              <w:rPr>
                <w:b/>
                <w:sz w:val="20"/>
                <w:vertAlign w:val="subscript"/>
              </w:rPr>
              <w:t>2</w:t>
            </w:r>
          </w:p>
        </w:tc>
      </w:tr>
      <w:tr w:rsidR="006169D8" w:rsidTr="005A2054">
        <w:trPr>
          <w:cantSplit/>
        </w:trPr>
        <w:tc>
          <w:tcPr>
            <w:tcW w:w="1701" w:type="dxa"/>
            <w:tcBorders>
              <w:top w:val="nil"/>
            </w:tcBorders>
          </w:tcPr>
          <w:p w:rsidR="006169D8" w:rsidRDefault="006169D8" w:rsidP="005A2054">
            <w:pPr>
              <w:tabs>
                <w:tab w:val="left" w:pos="426"/>
                <w:tab w:val="left" w:pos="709"/>
                <w:tab w:val="left" w:pos="993"/>
              </w:tabs>
              <w:jc w:val="center"/>
              <w:rPr>
                <w:sz w:val="20"/>
              </w:rPr>
            </w:pPr>
            <w:r>
              <w:rPr>
                <w:sz w:val="20"/>
              </w:rPr>
              <w:t>60</w:t>
            </w:r>
          </w:p>
        </w:tc>
        <w:tc>
          <w:tcPr>
            <w:tcW w:w="1719" w:type="dxa"/>
            <w:tcBorders>
              <w:top w:val="nil"/>
            </w:tcBorders>
          </w:tcPr>
          <w:p w:rsidR="006169D8" w:rsidRDefault="006169D8" w:rsidP="005A2054">
            <w:pPr>
              <w:tabs>
                <w:tab w:val="left" w:pos="426"/>
                <w:tab w:val="left" w:pos="709"/>
                <w:tab w:val="left" w:pos="993"/>
              </w:tabs>
              <w:jc w:val="center"/>
              <w:rPr>
                <w:sz w:val="20"/>
              </w:rPr>
            </w:pPr>
            <w:r>
              <w:rPr>
                <w:sz w:val="20"/>
              </w:rPr>
              <w:t>1,00</w:t>
            </w:r>
          </w:p>
        </w:tc>
        <w:tc>
          <w:tcPr>
            <w:tcW w:w="2817" w:type="dxa"/>
            <w:tcBorders>
              <w:top w:val="nil"/>
            </w:tcBorders>
          </w:tcPr>
          <w:p w:rsidR="006169D8" w:rsidRDefault="006169D8" w:rsidP="005A2054">
            <w:pPr>
              <w:tabs>
                <w:tab w:val="left" w:pos="426"/>
                <w:tab w:val="left" w:pos="709"/>
                <w:tab w:val="left" w:pos="993"/>
              </w:tabs>
              <w:jc w:val="center"/>
              <w:rPr>
                <w:sz w:val="20"/>
              </w:rPr>
            </w:pPr>
            <w:r>
              <w:rPr>
                <w:sz w:val="20"/>
              </w:rPr>
              <w:t>60</w:t>
            </w:r>
          </w:p>
        </w:tc>
        <w:tc>
          <w:tcPr>
            <w:tcW w:w="2921" w:type="dxa"/>
            <w:tcBorders>
              <w:top w:val="nil"/>
            </w:tcBorders>
          </w:tcPr>
          <w:p w:rsidR="006169D8" w:rsidRDefault="006169D8" w:rsidP="005A2054">
            <w:pPr>
              <w:tabs>
                <w:tab w:val="left" w:pos="426"/>
                <w:tab w:val="left" w:pos="709"/>
                <w:tab w:val="left" w:pos="993"/>
              </w:tabs>
              <w:jc w:val="center"/>
              <w:rPr>
                <w:sz w:val="20"/>
              </w:rPr>
            </w:pPr>
            <w:r>
              <w:rPr>
                <w:sz w:val="20"/>
              </w:rPr>
              <w:t>120</w:t>
            </w:r>
          </w:p>
        </w:tc>
      </w:tr>
      <w:tr w:rsidR="00486DE4" w:rsidTr="005A2054">
        <w:trPr>
          <w:cantSplit/>
        </w:trPr>
        <w:tc>
          <w:tcPr>
            <w:tcW w:w="1701" w:type="dxa"/>
            <w:tcBorders>
              <w:top w:val="nil"/>
            </w:tcBorders>
          </w:tcPr>
          <w:p w:rsidR="00486DE4" w:rsidRDefault="00486DE4" w:rsidP="005A2054">
            <w:pPr>
              <w:tabs>
                <w:tab w:val="left" w:pos="426"/>
                <w:tab w:val="left" w:pos="709"/>
                <w:tab w:val="left" w:pos="993"/>
              </w:tabs>
              <w:jc w:val="center"/>
              <w:rPr>
                <w:sz w:val="20"/>
              </w:rPr>
            </w:pPr>
            <w:r>
              <w:rPr>
                <w:sz w:val="20"/>
              </w:rPr>
              <w:t>80</w:t>
            </w:r>
          </w:p>
        </w:tc>
        <w:tc>
          <w:tcPr>
            <w:tcW w:w="1719" w:type="dxa"/>
            <w:tcBorders>
              <w:top w:val="nil"/>
            </w:tcBorders>
          </w:tcPr>
          <w:p w:rsidR="00486DE4" w:rsidRDefault="00486DE4" w:rsidP="005A2054">
            <w:pPr>
              <w:tabs>
                <w:tab w:val="left" w:pos="426"/>
                <w:tab w:val="left" w:pos="709"/>
                <w:tab w:val="left" w:pos="993"/>
              </w:tabs>
              <w:jc w:val="center"/>
              <w:rPr>
                <w:sz w:val="20"/>
              </w:rPr>
            </w:pPr>
            <w:r>
              <w:rPr>
                <w:sz w:val="20"/>
              </w:rPr>
              <w:t>1,00</w:t>
            </w:r>
          </w:p>
        </w:tc>
        <w:tc>
          <w:tcPr>
            <w:tcW w:w="2817" w:type="dxa"/>
            <w:tcBorders>
              <w:top w:val="nil"/>
            </w:tcBorders>
          </w:tcPr>
          <w:p w:rsidR="00486DE4" w:rsidRDefault="00486DE4" w:rsidP="005A2054">
            <w:pPr>
              <w:tabs>
                <w:tab w:val="left" w:pos="426"/>
                <w:tab w:val="left" w:pos="709"/>
                <w:tab w:val="left" w:pos="993"/>
              </w:tabs>
              <w:jc w:val="center"/>
              <w:rPr>
                <w:sz w:val="20"/>
              </w:rPr>
            </w:pPr>
            <w:r>
              <w:rPr>
                <w:sz w:val="20"/>
              </w:rPr>
              <w:t>80</w:t>
            </w:r>
          </w:p>
        </w:tc>
        <w:tc>
          <w:tcPr>
            <w:tcW w:w="2921" w:type="dxa"/>
            <w:tcBorders>
              <w:top w:val="nil"/>
            </w:tcBorders>
          </w:tcPr>
          <w:p w:rsidR="00486DE4" w:rsidRDefault="00486DE4" w:rsidP="005A2054">
            <w:pPr>
              <w:tabs>
                <w:tab w:val="left" w:pos="426"/>
                <w:tab w:val="left" w:pos="709"/>
                <w:tab w:val="left" w:pos="993"/>
              </w:tabs>
              <w:jc w:val="center"/>
              <w:rPr>
                <w:sz w:val="20"/>
              </w:rPr>
            </w:pPr>
            <w:r>
              <w:rPr>
                <w:sz w:val="20"/>
              </w:rPr>
              <w:t>140</w:t>
            </w:r>
          </w:p>
        </w:tc>
      </w:tr>
      <w:tr w:rsidR="00486DE4" w:rsidTr="005A2054">
        <w:trPr>
          <w:cantSplit/>
        </w:trPr>
        <w:tc>
          <w:tcPr>
            <w:tcW w:w="1701" w:type="dxa"/>
            <w:tcBorders>
              <w:top w:val="nil"/>
            </w:tcBorders>
          </w:tcPr>
          <w:p w:rsidR="00486DE4" w:rsidRDefault="00486DE4" w:rsidP="005A2054">
            <w:pPr>
              <w:tabs>
                <w:tab w:val="left" w:pos="426"/>
                <w:tab w:val="left" w:pos="709"/>
                <w:tab w:val="left" w:pos="993"/>
              </w:tabs>
              <w:jc w:val="center"/>
              <w:rPr>
                <w:sz w:val="20"/>
              </w:rPr>
            </w:pPr>
            <w:r>
              <w:rPr>
                <w:sz w:val="20"/>
              </w:rPr>
              <w:t>120</w:t>
            </w:r>
          </w:p>
        </w:tc>
        <w:tc>
          <w:tcPr>
            <w:tcW w:w="1719" w:type="dxa"/>
            <w:tcBorders>
              <w:top w:val="nil"/>
            </w:tcBorders>
          </w:tcPr>
          <w:p w:rsidR="00486DE4" w:rsidRDefault="00486DE4" w:rsidP="005A2054">
            <w:pPr>
              <w:tabs>
                <w:tab w:val="left" w:pos="426"/>
                <w:tab w:val="left" w:pos="709"/>
                <w:tab w:val="left" w:pos="993"/>
              </w:tabs>
              <w:jc w:val="center"/>
              <w:rPr>
                <w:sz w:val="20"/>
              </w:rPr>
            </w:pPr>
            <w:r>
              <w:rPr>
                <w:sz w:val="20"/>
              </w:rPr>
              <w:t>1,03</w:t>
            </w:r>
          </w:p>
        </w:tc>
        <w:tc>
          <w:tcPr>
            <w:tcW w:w="2817" w:type="dxa"/>
            <w:tcBorders>
              <w:top w:val="nil"/>
            </w:tcBorders>
          </w:tcPr>
          <w:p w:rsidR="00486DE4" w:rsidRDefault="00486DE4" w:rsidP="005A2054">
            <w:pPr>
              <w:tabs>
                <w:tab w:val="left" w:pos="426"/>
                <w:tab w:val="left" w:pos="709"/>
                <w:tab w:val="left" w:pos="993"/>
              </w:tabs>
              <w:jc w:val="center"/>
              <w:rPr>
                <w:sz w:val="20"/>
              </w:rPr>
            </w:pPr>
            <w:r>
              <w:rPr>
                <w:sz w:val="20"/>
              </w:rPr>
              <w:t>100</w:t>
            </w:r>
          </w:p>
        </w:tc>
        <w:tc>
          <w:tcPr>
            <w:tcW w:w="2921" w:type="dxa"/>
            <w:tcBorders>
              <w:top w:val="nil"/>
            </w:tcBorders>
          </w:tcPr>
          <w:p w:rsidR="00486DE4" w:rsidRDefault="00486DE4" w:rsidP="005A2054">
            <w:pPr>
              <w:tabs>
                <w:tab w:val="left" w:pos="426"/>
                <w:tab w:val="left" w:pos="709"/>
                <w:tab w:val="left" w:pos="993"/>
              </w:tabs>
              <w:jc w:val="center"/>
              <w:rPr>
                <w:sz w:val="20"/>
              </w:rPr>
            </w:pPr>
            <w:r>
              <w:rPr>
                <w:sz w:val="20"/>
              </w:rPr>
              <w:t>180</w:t>
            </w:r>
          </w:p>
        </w:tc>
      </w:tr>
    </w:tbl>
    <w:p w:rsidR="00486DE4" w:rsidRDefault="00486DE4" w:rsidP="00486DE4">
      <w:pPr>
        <w:tabs>
          <w:tab w:val="left" w:pos="993"/>
        </w:tabs>
      </w:pPr>
      <w:r>
        <w:rPr>
          <w:snapToGrid w:val="0"/>
        </w:rPr>
        <w:tab/>
        <w:t>Procedura badań wg „Instrukcji badań podłoża dla warstw podbudowy”.</w:t>
      </w:r>
    </w:p>
    <w:p w:rsidR="00486DE4" w:rsidRDefault="00486DE4" w:rsidP="00486DE4">
      <w:pPr>
        <w:pStyle w:val="Standardowytekst"/>
        <w:numPr>
          <w:ilvl w:val="12"/>
          <w:numId w:val="0"/>
        </w:numPr>
        <w:tabs>
          <w:tab w:val="left" w:pos="1440"/>
        </w:tabs>
        <w:ind w:left="810"/>
        <w:rPr>
          <w:sz w:val="24"/>
        </w:rPr>
      </w:pPr>
    </w:p>
    <w:p w:rsidR="00486DE4" w:rsidRPr="009E7DAC" w:rsidRDefault="00486DE4" w:rsidP="00486DE4">
      <w:pPr>
        <w:pStyle w:val="Nagwek2"/>
        <w:tabs>
          <w:tab w:val="num" w:pos="540"/>
        </w:tabs>
        <w:rPr>
          <w:rFonts w:asciiTheme="minorHAnsi" w:hAnsiTheme="minorHAnsi" w:cstheme="minorHAnsi"/>
          <w:u w:val="single"/>
        </w:rPr>
      </w:pPr>
      <w:r w:rsidRPr="009E7DAC">
        <w:rPr>
          <w:rFonts w:asciiTheme="minorHAnsi" w:hAnsiTheme="minorHAnsi" w:cstheme="minorHAnsi"/>
          <w:u w:val="single"/>
        </w:rPr>
        <w:t>Odcinek próbny</w:t>
      </w:r>
    </w:p>
    <w:p w:rsidR="00486DE4" w:rsidRPr="009E7DAC" w:rsidRDefault="00486DE4" w:rsidP="00486DE4"/>
    <w:p w:rsidR="00486DE4" w:rsidRPr="009E7DAC" w:rsidRDefault="00486DE4" w:rsidP="00486DE4">
      <w:pPr>
        <w:pStyle w:val="Standardowytekst"/>
        <w:numPr>
          <w:ilvl w:val="12"/>
          <w:numId w:val="0"/>
        </w:numPr>
        <w:ind w:left="540"/>
        <w:rPr>
          <w:sz w:val="24"/>
        </w:rPr>
      </w:pPr>
      <w:r w:rsidRPr="009E7DAC">
        <w:rPr>
          <w:sz w:val="24"/>
        </w:rPr>
        <w:t>Co najmniej na 3 dni przed rozpoczęciem robót, Wykonawca powinien wykonać odcinek próbny w celu:</w:t>
      </w:r>
    </w:p>
    <w:p w:rsidR="00486DE4" w:rsidRPr="009E7DAC" w:rsidRDefault="00486DE4" w:rsidP="00486DE4">
      <w:pPr>
        <w:pStyle w:val="Standardowytekst"/>
        <w:numPr>
          <w:ilvl w:val="12"/>
          <w:numId w:val="0"/>
        </w:numPr>
        <w:ind w:left="540"/>
        <w:rPr>
          <w:sz w:val="24"/>
        </w:rPr>
      </w:pPr>
    </w:p>
    <w:p w:rsidR="00486DE4" w:rsidRPr="009E7DAC" w:rsidRDefault="00486DE4" w:rsidP="00486DE4">
      <w:pPr>
        <w:pStyle w:val="tekstost"/>
        <w:numPr>
          <w:ilvl w:val="0"/>
          <w:numId w:val="4"/>
        </w:numPr>
        <w:rPr>
          <w:sz w:val="24"/>
        </w:rPr>
      </w:pPr>
      <w:r w:rsidRPr="009E7DAC">
        <w:rPr>
          <w:sz w:val="24"/>
        </w:rPr>
        <w:t>stwierdzenia czy sprzęt budowlany do mieszania, rozkładania i zagęszczania kruszywa jest właściwy,</w:t>
      </w:r>
    </w:p>
    <w:p w:rsidR="00486DE4" w:rsidRPr="009E7DAC" w:rsidRDefault="00486DE4" w:rsidP="00486DE4">
      <w:pPr>
        <w:pStyle w:val="tekstost"/>
        <w:numPr>
          <w:ilvl w:val="0"/>
          <w:numId w:val="4"/>
        </w:numPr>
        <w:rPr>
          <w:sz w:val="24"/>
        </w:rPr>
      </w:pPr>
      <w:r w:rsidRPr="009E7DAC">
        <w:rPr>
          <w:sz w:val="24"/>
        </w:rPr>
        <w:t>określenia grubości warstwy materiału w stanie luźnym koniecznej do uzyskania wymaganej grubości warstwy po zagęszczeniu,</w:t>
      </w:r>
    </w:p>
    <w:p w:rsidR="00486DE4" w:rsidRPr="009E7DAC" w:rsidRDefault="00486DE4" w:rsidP="00486DE4">
      <w:pPr>
        <w:pStyle w:val="tekstost"/>
        <w:numPr>
          <w:ilvl w:val="0"/>
          <w:numId w:val="4"/>
        </w:numPr>
        <w:rPr>
          <w:sz w:val="24"/>
        </w:rPr>
      </w:pPr>
      <w:r w:rsidRPr="009E7DAC">
        <w:rPr>
          <w:sz w:val="24"/>
        </w:rPr>
        <w:t>określenia liczby przejść sprzętu zagęszczającego, potrzebnej do uzyskania wymaganego wskaźnika zagęszczenia.</w:t>
      </w:r>
    </w:p>
    <w:p w:rsidR="00486DE4" w:rsidRPr="009E7DAC" w:rsidRDefault="00486DE4" w:rsidP="00486DE4">
      <w:pPr>
        <w:pStyle w:val="tekstost"/>
        <w:ind w:left="810"/>
        <w:rPr>
          <w:sz w:val="24"/>
        </w:rPr>
      </w:pPr>
    </w:p>
    <w:p w:rsidR="00486DE4" w:rsidRPr="009E7DAC" w:rsidRDefault="00486DE4" w:rsidP="00486DE4">
      <w:pPr>
        <w:pStyle w:val="Standardowytekst"/>
        <w:numPr>
          <w:ilvl w:val="12"/>
          <w:numId w:val="0"/>
        </w:numPr>
        <w:ind w:left="540"/>
        <w:rPr>
          <w:sz w:val="24"/>
        </w:rPr>
      </w:pPr>
      <w:r w:rsidRPr="009E7DAC">
        <w:rPr>
          <w:sz w:val="24"/>
        </w:rPr>
        <w:t>Na odcinku próbnym  Wykonawca powinien użyć takich materiałów oraz sprzętu do mieszania, rozkładania i zagęszczania, jakie będą stosowane do wykonywania podbudowy. Powierzchnia odcinka próbnego powinna wynosić od 400 do 800 m</w:t>
      </w:r>
      <w:r w:rsidRPr="009E7DAC">
        <w:rPr>
          <w:sz w:val="24"/>
          <w:vertAlign w:val="superscript"/>
        </w:rPr>
        <w:t>2</w:t>
      </w:r>
      <w:r w:rsidRPr="009E7DAC">
        <w:rPr>
          <w:sz w:val="24"/>
        </w:rPr>
        <w:t>. Odcinek próbny powinien być zlokalizowany w miejscu wskazanym przez Inżyniera.</w:t>
      </w:r>
    </w:p>
    <w:p w:rsidR="00486DE4" w:rsidRDefault="00486DE4" w:rsidP="00486DE4">
      <w:pPr>
        <w:pStyle w:val="Standardowytekst"/>
        <w:numPr>
          <w:ilvl w:val="12"/>
          <w:numId w:val="0"/>
        </w:numPr>
        <w:ind w:left="540"/>
        <w:rPr>
          <w:sz w:val="24"/>
        </w:rPr>
      </w:pPr>
      <w:r w:rsidRPr="009E7DAC">
        <w:rPr>
          <w:sz w:val="24"/>
        </w:rPr>
        <w:t>Wykonawca może przystąpić do wykonywania podbudowy po zaakceptowaniu odcinka próbnego przez Inżyniera.</w:t>
      </w:r>
    </w:p>
    <w:p w:rsidR="00486DE4" w:rsidRDefault="00486DE4" w:rsidP="00486DE4">
      <w:pPr>
        <w:pStyle w:val="Standardowytekst"/>
        <w:numPr>
          <w:ilvl w:val="12"/>
          <w:numId w:val="0"/>
        </w:numPr>
        <w:ind w:left="810"/>
        <w:rPr>
          <w:sz w:val="24"/>
        </w:rPr>
      </w:pPr>
    </w:p>
    <w:p w:rsidR="00486DE4" w:rsidRPr="00C0155B" w:rsidRDefault="00486DE4" w:rsidP="00486DE4">
      <w:pPr>
        <w:pStyle w:val="Nagwek2"/>
        <w:tabs>
          <w:tab w:val="num" w:pos="540"/>
        </w:tabs>
        <w:rPr>
          <w:rFonts w:asciiTheme="minorHAnsi" w:hAnsiTheme="minorHAnsi" w:cstheme="minorHAnsi"/>
          <w:u w:val="single"/>
        </w:rPr>
      </w:pPr>
      <w:r w:rsidRPr="00C0155B">
        <w:rPr>
          <w:rFonts w:asciiTheme="minorHAnsi" w:hAnsiTheme="minorHAnsi" w:cstheme="minorHAnsi"/>
          <w:u w:val="single"/>
        </w:rPr>
        <w:t xml:space="preserve">Utrzymanie podbudowy </w:t>
      </w: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486DE4" w:rsidRDefault="00486DE4" w:rsidP="00486DE4">
      <w:pPr>
        <w:pStyle w:val="Standardowytekst"/>
        <w:numPr>
          <w:ilvl w:val="12"/>
          <w:numId w:val="0"/>
        </w:numPr>
        <w:ind w:left="540"/>
        <w:rPr>
          <w:sz w:val="24"/>
        </w:rPr>
      </w:pPr>
    </w:p>
    <w:p w:rsidR="00486DE4" w:rsidRPr="00B029BA" w:rsidRDefault="00486DE4" w:rsidP="00486DE4">
      <w:pPr>
        <w:pStyle w:val="Nagwek1"/>
        <w:numPr>
          <w:ilvl w:val="0"/>
          <w:numId w:val="2"/>
        </w:numPr>
        <w:tabs>
          <w:tab w:val="num" w:pos="540"/>
        </w:tabs>
        <w:rPr>
          <w:rFonts w:asciiTheme="minorHAnsi" w:hAnsiTheme="minorHAnsi" w:cstheme="minorHAnsi"/>
        </w:rPr>
      </w:pPr>
      <w:bookmarkStart w:id="54" w:name="_Toc423398335"/>
      <w:bookmarkStart w:id="55" w:name="_Toc423845943"/>
      <w:r w:rsidRPr="00B029BA">
        <w:rPr>
          <w:rFonts w:asciiTheme="minorHAnsi" w:hAnsiTheme="minorHAnsi" w:cstheme="minorHAnsi"/>
        </w:rPr>
        <w:t>Kontrola jakości robót</w:t>
      </w:r>
      <w:bookmarkEnd w:id="54"/>
      <w:bookmarkEnd w:id="55"/>
    </w:p>
    <w:p w:rsidR="00486DE4" w:rsidRDefault="00486DE4" w:rsidP="00486DE4"/>
    <w:p w:rsidR="00486DE4" w:rsidRPr="00B029BA" w:rsidRDefault="00486DE4" w:rsidP="00486DE4">
      <w:pPr>
        <w:pStyle w:val="Nagwek2"/>
        <w:tabs>
          <w:tab w:val="num" w:pos="540"/>
        </w:tabs>
        <w:rPr>
          <w:rFonts w:asciiTheme="minorHAnsi" w:hAnsiTheme="minorHAnsi" w:cstheme="minorHAnsi"/>
          <w:u w:val="single"/>
        </w:rPr>
      </w:pPr>
      <w:r w:rsidRPr="00B029BA">
        <w:rPr>
          <w:rFonts w:asciiTheme="minorHAnsi" w:hAnsiTheme="minorHAnsi" w:cstheme="minorHAnsi"/>
          <w:u w:val="single"/>
        </w:rPr>
        <w:t>Ogólne zasady kontroli jakości robót</w:t>
      </w: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Ogólne zasady kontroli jakości robót podano w ST D-M 00.00.00 „Wymagania ogólne” punkt 6.</w:t>
      </w:r>
    </w:p>
    <w:p w:rsidR="00486DE4" w:rsidRDefault="00486DE4" w:rsidP="00486DE4">
      <w:pPr>
        <w:pStyle w:val="Standardowytekst"/>
        <w:numPr>
          <w:ilvl w:val="12"/>
          <w:numId w:val="0"/>
        </w:numPr>
        <w:ind w:left="540"/>
        <w:rPr>
          <w:sz w:val="24"/>
        </w:rPr>
      </w:pPr>
    </w:p>
    <w:p w:rsidR="00486DE4" w:rsidRPr="00B029BA" w:rsidRDefault="00486DE4" w:rsidP="00486DE4">
      <w:pPr>
        <w:pStyle w:val="Nagwek2"/>
        <w:tabs>
          <w:tab w:val="num" w:pos="540"/>
        </w:tabs>
        <w:rPr>
          <w:rFonts w:asciiTheme="minorHAnsi" w:hAnsiTheme="minorHAnsi" w:cstheme="minorHAnsi"/>
          <w:u w:val="single"/>
        </w:rPr>
      </w:pPr>
      <w:r w:rsidRPr="00B029BA">
        <w:rPr>
          <w:rFonts w:asciiTheme="minorHAnsi" w:hAnsiTheme="minorHAnsi" w:cstheme="minorHAnsi"/>
          <w:u w:val="single"/>
        </w:rPr>
        <w:t>Badania przed przystąpieniem do robót</w:t>
      </w: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Przed przystąpieniem do robót Wykonawca powinien wykonać badania kruszyw przeznaczonych do wykonania robót i przedstawić wyniki tych badań Inżynierowi w celu akceptacji materiałów. Badania te powinny obejmować wszystkie właściwości określone w punkcie 2.3 niniejszej ST.</w:t>
      </w:r>
    </w:p>
    <w:p w:rsidR="00486DE4" w:rsidRDefault="00486DE4" w:rsidP="00486DE4">
      <w:pPr>
        <w:pStyle w:val="Standardowytekst"/>
        <w:numPr>
          <w:ilvl w:val="12"/>
          <w:numId w:val="0"/>
        </w:numPr>
        <w:ind w:left="540"/>
        <w:rPr>
          <w:sz w:val="24"/>
        </w:rPr>
      </w:pPr>
    </w:p>
    <w:p w:rsidR="00486DE4" w:rsidRPr="00B029BA" w:rsidRDefault="00486DE4" w:rsidP="00486DE4">
      <w:pPr>
        <w:pStyle w:val="Nagwek2"/>
        <w:tabs>
          <w:tab w:val="num" w:pos="540"/>
        </w:tabs>
        <w:rPr>
          <w:rFonts w:asciiTheme="minorHAnsi" w:hAnsiTheme="minorHAnsi" w:cstheme="minorHAnsi"/>
          <w:u w:val="single"/>
        </w:rPr>
      </w:pPr>
      <w:r w:rsidRPr="00B029BA">
        <w:rPr>
          <w:rFonts w:asciiTheme="minorHAnsi" w:hAnsiTheme="minorHAnsi" w:cstheme="minorHAnsi"/>
          <w:u w:val="single"/>
        </w:rPr>
        <w:lastRenderedPageBreak/>
        <w:t>Badania w czasie robót</w:t>
      </w:r>
    </w:p>
    <w:p w:rsidR="00486DE4" w:rsidRPr="00B029BA" w:rsidRDefault="00486DE4" w:rsidP="00486DE4">
      <w:pPr>
        <w:pStyle w:val="Nagwek3"/>
        <w:rPr>
          <w:rFonts w:asciiTheme="minorHAnsi" w:hAnsiTheme="minorHAnsi" w:cstheme="minorHAnsi"/>
        </w:rPr>
      </w:pPr>
      <w:r w:rsidRPr="00B029BA">
        <w:rPr>
          <w:rFonts w:asciiTheme="minorHAnsi" w:hAnsiTheme="minorHAnsi" w:cstheme="minorHAnsi"/>
        </w:rPr>
        <w:t>Częstotliwość oraz zakres badań i pomiarów</w:t>
      </w: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Częstotliwość oraz zakres badań podano w tablicy 3.</w:t>
      </w: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Tablica 3. Częstotliwość oraz zakres badań przy budowie podbudowy z kruszyw stabilizowanych mechanicznie</w:t>
      </w:r>
    </w:p>
    <w:p w:rsidR="00486DE4" w:rsidRDefault="00486DE4" w:rsidP="00486DE4">
      <w:pPr>
        <w:pStyle w:val="tekstost"/>
        <w:numPr>
          <w:ilvl w:val="12"/>
          <w:numId w:val="0"/>
        </w:numPr>
        <w:spacing w:after="120"/>
        <w:ind w:firstLine="540"/>
        <w:rPr>
          <w:sz w:val="24"/>
        </w:rPr>
      </w:pPr>
    </w:p>
    <w:tbl>
      <w:tblPr>
        <w:tblW w:w="8820" w:type="dxa"/>
        <w:tblInd w:w="430" w:type="dxa"/>
        <w:tblLayout w:type="fixed"/>
        <w:tblCellMar>
          <w:left w:w="70" w:type="dxa"/>
          <w:right w:w="70" w:type="dxa"/>
        </w:tblCellMar>
        <w:tblLook w:val="0000"/>
      </w:tblPr>
      <w:tblGrid>
        <w:gridCol w:w="433"/>
        <w:gridCol w:w="3612"/>
        <w:gridCol w:w="1591"/>
        <w:gridCol w:w="3184"/>
      </w:tblGrid>
      <w:tr w:rsidR="00486DE4" w:rsidTr="005A2054">
        <w:trPr>
          <w:cantSplit/>
        </w:trPr>
        <w:tc>
          <w:tcPr>
            <w:tcW w:w="433" w:type="dxa"/>
            <w:vMerge w:val="restart"/>
            <w:tcBorders>
              <w:top w:val="single" w:sz="6" w:space="0" w:color="auto"/>
              <w:left w:val="single" w:sz="6" w:space="0" w:color="auto"/>
              <w:right w:val="nil"/>
            </w:tcBorders>
            <w:vAlign w:val="center"/>
          </w:tcPr>
          <w:p w:rsidR="00486DE4" w:rsidRDefault="00486DE4" w:rsidP="005A2054">
            <w:pPr>
              <w:pStyle w:val="tekstost"/>
              <w:numPr>
                <w:ilvl w:val="12"/>
                <w:numId w:val="0"/>
              </w:numPr>
              <w:spacing w:before="120"/>
              <w:jc w:val="center"/>
              <w:rPr>
                <w:sz w:val="24"/>
              </w:rPr>
            </w:pPr>
            <w:r>
              <w:rPr>
                <w:sz w:val="24"/>
              </w:rPr>
              <w:t>Lp.</w:t>
            </w:r>
          </w:p>
        </w:tc>
        <w:tc>
          <w:tcPr>
            <w:tcW w:w="3612" w:type="dxa"/>
            <w:vMerge w:val="restart"/>
            <w:tcBorders>
              <w:top w:val="single" w:sz="6" w:space="0" w:color="auto"/>
              <w:left w:val="single" w:sz="6" w:space="0" w:color="auto"/>
              <w:right w:val="nil"/>
            </w:tcBorders>
            <w:vAlign w:val="center"/>
          </w:tcPr>
          <w:p w:rsidR="00486DE4" w:rsidRDefault="00486DE4" w:rsidP="005A2054">
            <w:pPr>
              <w:pStyle w:val="tekstost"/>
              <w:numPr>
                <w:ilvl w:val="12"/>
                <w:numId w:val="0"/>
              </w:numPr>
              <w:spacing w:before="120"/>
              <w:jc w:val="center"/>
              <w:rPr>
                <w:sz w:val="24"/>
              </w:rPr>
            </w:pPr>
            <w:r>
              <w:rPr>
                <w:sz w:val="24"/>
              </w:rPr>
              <w:t>Wyszczególnienie badań</w:t>
            </w:r>
          </w:p>
        </w:tc>
        <w:tc>
          <w:tcPr>
            <w:tcW w:w="4775" w:type="dxa"/>
            <w:gridSpan w:val="2"/>
            <w:tcBorders>
              <w:top w:val="single" w:sz="6" w:space="0" w:color="auto"/>
              <w:left w:val="single" w:sz="6" w:space="0" w:color="auto"/>
              <w:bottom w:val="single" w:sz="6" w:space="0" w:color="auto"/>
              <w:right w:val="single" w:sz="6" w:space="0" w:color="auto"/>
            </w:tcBorders>
          </w:tcPr>
          <w:p w:rsidR="00486DE4" w:rsidRDefault="00486DE4" w:rsidP="005A2054">
            <w:pPr>
              <w:pStyle w:val="tekstost"/>
              <w:numPr>
                <w:ilvl w:val="12"/>
                <w:numId w:val="0"/>
              </w:numPr>
              <w:jc w:val="center"/>
              <w:rPr>
                <w:sz w:val="24"/>
              </w:rPr>
            </w:pPr>
            <w:r>
              <w:rPr>
                <w:sz w:val="24"/>
              </w:rPr>
              <w:t>Częstotliwość badań</w:t>
            </w:r>
          </w:p>
        </w:tc>
      </w:tr>
      <w:tr w:rsidR="00486DE4" w:rsidTr="005A2054">
        <w:trPr>
          <w:cantSplit/>
        </w:trPr>
        <w:tc>
          <w:tcPr>
            <w:tcW w:w="433" w:type="dxa"/>
            <w:vMerge/>
            <w:tcBorders>
              <w:left w:val="single" w:sz="6" w:space="0" w:color="auto"/>
              <w:bottom w:val="double" w:sz="6" w:space="0" w:color="auto"/>
              <w:right w:val="single" w:sz="6" w:space="0" w:color="auto"/>
            </w:tcBorders>
            <w:vAlign w:val="center"/>
          </w:tcPr>
          <w:p w:rsidR="00486DE4" w:rsidRDefault="00486DE4" w:rsidP="005A2054">
            <w:pPr>
              <w:pStyle w:val="tekstost"/>
              <w:numPr>
                <w:ilvl w:val="12"/>
                <w:numId w:val="0"/>
              </w:numPr>
              <w:spacing w:before="120"/>
              <w:jc w:val="center"/>
              <w:rPr>
                <w:sz w:val="24"/>
              </w:rPr>
            </w:pPr>
          </w:p>
        </w:tc>
        <w:tc>
          <w:tcPr>
            <w:tcW w:w="3612" w:type="dxa"/>
            <w:vMerge/>
            <w:tcBorders>
              <w:left w:val="single" w:sz="6" w:space="0" w:color="auto"/>
              <w:bottom w:val="double" w:sz="6" w:space="0" w:color="auto"/>
              <w:right w:val="nil"/>
            </w:tcBorders>
            <w:vAlign w:val="center"/>
          </w:tcPr>
          <w:p w:rsidR="00486DE4" w:rsidRDefault="00486DE4" w:rsidP="005A2054">
            <w:pPr>
              <w:pStyle w:val="tekstost"/>
              <w:numPr>
                <w:ilvl w:val="12"/>
                <w:numId w:val="0"/>
              </w:numPr>
              <w:spacing w:before="120"/>
              <w:jc w:val="center"/>
              <w:rPr>
                <w:sz w:val="24"/>
              </w:rPr>
            </w:pPr>
          </w:p>
        </w:tc>
        <w:tc>
          <w:tcPr>
            <w:tcW w:w="1591" w:type="dxa"/>
            <w:tcBorders>
              <w:top w:val="single" w:sz="6" w:space="0" w:color="auto"/>
              <w:left w:val="single" w:sz="6" w:space="0" w:color="auto"/>
              <w:bottom w:val="double" w:sz="6" w:space="0" w:color="auto"/>
              <w:right w:val="single" w:sz="6" w:space="0" w:color="auto"/>
            </w:tcBorders>
          </w:tcPr>
          <w:p w:rsidR="00486DE4" w:rsidRDefault="00486DE4" w:rsidP="005A2054">
            <w:pPr>
              <w:pStyle w:val="tekstost"/>
              <w:numPr>
                <w:ilvl w:val="12"/>
                <w:numId w:val="0"/>
              </w:numPr>
              <w:spacing w:before="120"/>
              <w:jc w:val="center"/>
            </w:pPr>
            <w:r>
              <w:t>Minimalna liczba badań na dziennej działce roboczej</w:t>
            </w:r>
          </w:p>
        </w:tc>
        <w:tc>
          <w:tcPr>
            <w:tcW w:w="3184" w:type="dxa"/>
            <w:tcBorders>
              <w:top w:val="single" w:sz="6" w:space="0" w:color="auto"/>
              <w:left w:val="single" w:sz="6" w:space="0" w:color="auto"/>
              <w:bottom w:val="double" w:sz="6" w:space="0" w:color="auto"/>
              <w:right w:val="single" w:sz="6" w:space="0" w:color="auto"/>
            </w:tcBorders>
            <w:vAlign w:val="center"/>
          </w:tcPr>
          <w:p w:rsidR="00486DE4" w:rsidRDefault="00486DE4" w:rsidP="005A2054">
            <w:pPr>
              <w:pStyle w:val="tekstost"/>
              <w:numPr>
                <w:ilvl w:val="12"/>
                <w:numId w:val="0"/>
              </w:numPr>
              <w:jc w:val="center"/>
            </w:pPr>
            <w:r>
              <w:t>Maksymalna długość odcinka przypadająca na 1 badanie (jezdnia)</w:t>
            </w:r>
          </w:p>
        </w:tc>
      </w:tr>
      <w:tr w:rsidR="00486DE4" w:rsidTr="005A2054">
        <w:trPr>
          <w:cantSplit/>
        </w:trPr>
        <w:tc>
          <w:tcPr>
            <w:tcW w:w="433" w:type="dxa"/>
            <w:tcBorders>
              <w:top w:val="nil"/>
              <w:left w:val="single" w:sz="6" w:space="0" w:color="auto"/>
              <w:bottom w:val="single" w:sz="6" w:space="0" w:color="auto"/>
              <w:right w:val="single" w:sz="6" w:space="0" w:color="auto"/>
            </w:tcBorders>
          </w:tcPr>
          <w:p w:rsidR="00486DE4" w:rsidRDefault="00486DE4" w:rsidP="005A2054">
            <w:pPr>
              <w:pStyle w:val="tekstost"/>
              <w:numPr>
                <w:ilvl w:val="12"/>
                <w:numId w:val="0"/>
              </w:numPr>
              <w:spacing w:before="60" w:after="60"/>
              <w:jc w:val="center"/>
              <w:rPr>
                <w:sz w:val="24"/>
              </w:rPr>
            </w:pPr>
            <w:r>
              <w:rPr>
                <w:sz w:val="24"/>
              </w:rPr>
              <w:t>1</w:t>
            </w:r>
          </w:p>
        </w:tc>
        <w:tc>
          <w:tcPr>
            <w:tcW w:w="3612" w:type="dxa"/>
            <w:tcBorders>
              <w:top w:val="nil"/>
              <w:left w:val="single" w:sz="6" w:space="0" w:color="auto"/>
              <w:bottom w:val="single" w:sz="6" w:space="0" w:color="auto"/>
              <w:right w:val="nil"/>
            </w:tcBorders>
          </w:tcPr>
          <w:p w:rsidR="00486DE4" w:rsidRDefault="00486DE4" w:rsidP="005A2054">
            <w:pPr>
              <w:pStyle w:val="tekstost"/>
              <w:numPr>
                <w:ilvl w:val="12"/>
                <w:numId w:val="0"/>
              </w:numPr>
              <w:spacing w:before="60" w:after="60"/>
              <w:rPr>
                <w:sz w:val="24"/>
              </w:rPr>
            </w:pPr>
            <w:r>
              <w:rPr>
                <w:sz w:val="24"/>
              </w:rPr>
              <w:t xml:space="preserve">Uziarnienie mieszanki </w:t>
            </w:r>
          </w:p>
        </w:tc>
        <w:tc>
          <w:tcPr>
            <w:tcW w:w="1591" w:type="dxa"/>
            <w:tcBorders>
              <w:top w:val="double" w:sz="6" w:space="0" w:color="auto"/>
              <w:left w:val="single" w:sz="6" w:space="0" w:color="auto"/>
              <w:bottom w:val="single" w:sz="6" w:space="0" w:color="auto"/>
              <w:right w:val="single" w:sz="6" w:space="0" w:color="auto"/>
            </w:tcBorders>
          </w:tcPr>
          <w:p w:rsidR="00486DE4" w:rsidRDefault="00486DE4" w:rsidP="005A2054">
            <w:pPr>
              <w:pStyle w:val="tekstost"/>
              <w:numPr>
                <w:ilvl w:val="12"/>
                <w:numId w:val="0"/>
              </w:numPr>
              <w:spacing w:before="60" w:after="60"/>
              <w:jc w:val="center"/>
              <w:rPr>
                <w:sz w:val="24"/>
              </w:rPr>
            </w:pPr>
            <w:r>
              <w:rPr>
                <w:sz w:val="24"/>
              </w:rPr>
              <w:t>1</w:t>
            </w:r>
          </w:p>
        </w:tc>
        <w:tc>
          <w:tcPr>
            <w:tcW w:w="3184" w:type="dxa"/>
            <w:tcBorders>
              <w:top w:val="double" w:sz="6" w:space="0" w:color="auto"/>
              <w:left w:val="single" w:sz="6" w:space="0" w:color="auto"/>
              <w:bottom w:val="single" w:sz="6" w:space="0" w:color="auto"/>
              <w:right w:val="single" w:sz="6" w:space="0" w:color="auto"/>
            </w:tcBorders>
            <w:vAlign w:val="center"/>
          </w:tcPr>
          <w:p w:rsidR="00486DE4" w:rsidRDefault="00486DE4" w:rsidP="005A2054">
            <w:pPr>
              <w:pStyle w:val="tekstost"/>
              <w:numPr>
                <w:ilvl w:val="12"/>
                <w:numId w:val="0"/>
              </w:numPr>
              <w:jc w:val="center"/>
              <w:rPr>
                <w:sz w:val="24"/>
              </w:rPr>
            </w:pPr>
            <w:r>
              <w:rPr>
                <w:sz w:val="24"/>
              </w:rPr>
              <w:t>500 mb</w:t>
            </w:r>
          </w:p>
        </w:tc>
      </w:tr>
      <w:tr w:rsidR="00486DE4" w:rsidTr="005A2054">
        <w:trPr>
          <w:cantSplit/>
        </w:trPr>
        <w:tc>
          <w:tcPr>
            <w:tcW w:w="433" w:type="dxa"/>
            <w:tcBorders>
              <w:top w:val="single" w:sz="6" w:space="0" w:color="auto"/>
              <w:left w:val="single" w:sz="6" w:space="0" w:color="auto"/>
              <w:bottom w:val="single" w:sz="6" w:space="0" w:color="auto"/>
              <w:right w:val="single" w:sz="6" w:space="0" w:color="auto"/>
            </w:tcBorders>
          </w:tcPr>
          <w:p w:rsidR="00486DE4" w:rsidRDefault="00486DE4" w:rsidP="005A2054">
            <w:pPr>
              <w:pStyle w:val="tekstost"/>
              <w:numPr>
                <w:ilvl w:val="12"/>
                <w:numId w:val="0"/>
              </w:numPr>
              <w:spacing w:before="60" w:after="60"/>
              <w:jc w:val="center"/>
              <w:rPr>
                <w:sz w:val="24"/>
              </w:rPr>
            </w:pPr>
            <w:r>
              <w:rPr>
                <w:sz w:val="24"/>
              </w:rPr>
              <w:t>2</w:t>
            </w:r>
          </w:p>
        </w:tc>
        <w:tc>
          <w:tcPr>
            <w:tcW w:w="3612" w:type="dxa"/>
            <w:tcBorders>
              <w:top w:val="single" w:sz="6" w:space="0" w:color="auto"/>
              <w:left w:val="single" w:sz="6" w:space="0" w:color="auto"/>
              <w:bottom w:val="single" w:sz="6" w:space="0" w:color="auto"/>
              <w:right w:val="nil"/>
            </w:tcBorders>
          </w:tcPr>
          <w:p w:rsidR="00486DE4" w:rsidRDefault="00486DE4" w:rsidP="005A2054">
            <w:pPr>
              <w:pStyle w:val="tekstost"/>
              <w:numPr>
                <w:ilvl w:val="12"/>
                <w:numId w:val="0"/>
              </w:numPr>
              <w:spacing w:before="60" w:after="60"/>
              <w:jc w:val="left"/>
              <w:rPr>
                <w:sz w:val="24"/>
              </w:rPr>
            </w:pPr>
            <w:r>
              <w:rPr>
                <w:sz w:val="24"/>
              </w:rPr>
              <w:t>Wskaźnik odkształcenia, moduły odkształcenia</w:t>
            </w:r>
          </w:p>
        </w:tc>
        <w:tc>
          <w:tcPr>
            <w:tcW w:w="1591" w:type="dxa"/>
            <w:tcBorders>
              <w:top w:val="single" w:sz="6" w:space="0" w:color="auto"/>
              <w:left w:val="single" w:sz="6" w:space="0" w:color="auto"/>
              <w:bottom w:val="single" w:sz="6" w:space="0" w:color="auto"/>
              <w:right w:val="single" w:sz="6" w:space="0" w:color="auto"/>
            </w:tcBorders>
            <w:vAlign w:val="bottom"/>
          </w:tcPr>
          <w:p w:rsidR="00486DE4" w:rsidRDefault="00486DE4" w:rsidP="005A2054">
            <w:pPr>
              <w:pStyle w:val="tekstost"/>
              <w:numPr>
                <w:ilvl w:val="12"/>
                <w:numId w:val="0"/>
              </w:numPr>
              <w:spacing w:before="60" w:after="60"/>
              <w:jc w:val="center"/>
              <w:rPr>
                <w:sz w:val="24"/>
              </w:rPr>
            </w:pPr>
            <w:r>
              <w:rPr>
                <w:sz w:val="24"/>
              </w:rPr>
              <w:t>2</w:t>
            </w:r>
          </w:p>
        </w:tc>
        <w:tc>
          <w:tcPr>
            <w:tcW w:w="3184" w:type="dxa"/>
            <w:tcBorders>
              <w:top w:val="single" w:sz="6" w:space="0" w:color="auto"/>
              <w:left w:val="single" w:sz="6" w:space="0" w:color="auto"/>
              <w:bottom w:val="single" w:sz="6" w:space="0" w:color="auto"/>
              <w:right w:val="single" w:sz="6" w:space="0" w:color="auto"/>
            </w:tcBorders>
            <w:vAlign w:val="bottom"/>
          </w:tcPr>
          <w:p w:rsidR="00486DE4" w:rsidRDefault="00486DE4" w:rsidP="005A2054">
            <w:pPr>
              <w:pStyle w:val="tekstost"/>
              <w:numPr>
                <w:ilvl w:val="12"/>
                <w:numId w:val="0"/>
              </w:numPr>
              <w:spacing w:before="60"/>
              <w:jc w:val="center"/>
              <w:rPr>
                <w:sz w:val="24"/>
              </w:rPr>
            </w:pPr>
            <w:r>
              <w:rPr>
                <w:sz w:val="24"/>
              </w:rPr>
              <w:t>250 mb</w:t>
            </w:r>
          </w:p>
        </w:tc>
      </w:tr>
      <w:tr w:rsidR="00486DE4" w:rsidTr="005A2054">
        <w:trPr>
          <w:cantSplit/>
        </w:trPr>
        <w:tc>
          <w:tcPr>
            <w:tcW w:w="433" w:type="dxa"/>
            <w:tcBorders>
              <w:top w:val="single" w:sz="6" w:space="0" w:color="auto"/>
              <w:left w:val="single" w:sz="6" w:space="0" w:color="auto"/>
              <w:bottom w:val="single" w:sz="6" w:space="0" w:color="auto"/>
              <w:right w:val="single" w:sz="6" w:space="0" w:color="auto"/>
            </w:tcBorders>
          </w:tcPr>
          <w:p w:rsidR="00486DE4" w:rsidRDefault="00486DE4" w:rsidP="005A2054">
            <w:pPr>
              <w:pStyle w:val="tekstost"/>
              <w:numPr>
                <w:ilvl w:val="12"/>
                <w:numId w:val="0"/>
              </w:numPr>
              <w:spacing w:before="60" w:after="60"/>
              <w:jc w:val="center"/>
              <w:rPr>
                <w:sz w:val="24"/>
              </w:rPr>
            </w:pPr>
            <w:r>
              <w:rPr>
                <w:sz w:val="24"/>
              </w:rPr>
              <w:t>3</w:t>
            </w:r>
          </w:p>
        </w:tc>
        <w:tc>
          <w:tcPr>
            <w:tcW w:w="3612" w:type="dxa"/>
            <w:tcBorders>
              <w:top w:val="single" w:sz="6" w:space="0" w:color="auto"/>
              <w:left w:val="single" w:sz="6" w:space="0" w:color="auto"/>
              <w:bottom w:val="single" w:sz="6" w:space="0" w:color="auto"/>
              <w:right w:val="nil"/>
            </w:tcBorders>
          </w:tcPr>
          <w:p w:rsidR="00486DE4" w:rsidRDefault="00486DE4" w:rsidP="005A2054">
            <w:pPr>
              <w:pStyle w:val="tekstost"/>
              <w:numPr>
                <w:ilvl w:val="12"/>
                <w:numId w:val="0"/>
              </w:numPr>
              <w:spacing w:before="60" w:after="60"/>
              <w:jc w:val="left"/>
              <w:rPr>
                <w:sz w:val="24"/>
              </w:rPr>
            </w:pPr>
            <w:r>
              <w:rPr>
                <w:sz w:val="24"/>
              </w:rPr>
              <w:t>Ugięcie sprężyste</w:t>
            </w:r>
          </w:p>
        </w:tc>
        <w:tc>
          <w:tcPr>
            <w:tcW w:w="1591" w:type="dxa"/>
            <w:tcBorders>
              <w:top w:val="single" w:sz="6" w:space="0" w:color="auto"/>
              <w:left w:val="single" w:sz="6" w:space="0" w:color="auto"/>
              <w:bottom w:val="single" w:sz="6" w:space="0" w:color="auto"/>
              <w:right w:val="single" w:sz="6" w:space="0" w:color="auto"/>
            </w:tcBorders>
            <w:vAlign w:val="bottom"/>
          </w:tcPr>
          <w:p w:rsidR="00486DE4" w:rsidRDefault="00486DE4" w:rsidP="005A2054">
            <w:pPr>
              <w:pStyle w:val="tekstost"/>
              <w:numPr>
                <w:ilvl w:val="12"/>
                <w:numId w:val="0"/>
              </w:numPr>
              <w:spacing w:before="60" w:after="60"/>
              <w:jc w:val="center"/>
              <w:rPr>
                <w:sz w:val="24"/>
              </w:rPr>
            </w:pPr>
            <w:r>
              <w:rPr>
                <w:sz w:val="24"/>
              </w:rPr>
              <w:t>10</w:t>
            </w:r>
          </w:p>
        </w:tc>
        <w:tc>
          <w:tcPr>
            <w:tcW w:w="3184" w:type="dxa"/>
            <w:tcBorders>
              <w:top w:val="single" w:sz="6" w:space="0" w:color="auto"/>
              <w:left w:val="single" w:sz="6" w:space="0" w:color="auto"/>
              <w:bottom w:val="single" w:sz="6" w:space="0" w:color="auto"/>
              <w:right w:val="single" w:sz="6" w:space="0" w:color="auto"/>
            </w:tcBorders>
            <w:vAlign w:val="bottom"/>
          </w:tcPr>
          <w:p w:rsidR="00486DE4" w:rsidRDefault="00486DE4" w:rsidP="005A2054">
            <w:pPr>
              <w:pStyle w:val="tekstost"/>
              <w:numPr>
                <w:ilvl w:val="12"/>
                <w:numId w:val="0"/>
              </w:numPr>
              <w:spacing w:before="60"/>
              <w:jc w:val="center"/>
              <w:rPr>
                <w:sz w:val="24"/>
              </w:rPr>
            </w:pPr>
            <w:r>
              <w:rPr>
                <w:sz w:val="24"/>
              </w:rPr>
              <w:t>50 mb/pas ruchu</w:t>
            </w:r>
          </w:p>
        </w:tc>
      </w:tr>
      <w:tr w:rsidR="00486DE4" w:rsidTr="005A2054">
        <w:trPr>
          <w:cantSplit/>
        </w:trPr>
        <w:tc>
          <w:tcPr>
            <w:tcW w:w="433" w:type="dxa"/>
            <w:tcBorders>
              <w:top w:val="single" w:sz="6" w:space="0" w:color="auto"/>
              <w:left w:val="single" w:sz="6" w:space="0" w:color="auto"/>
              <w:bottom w:val="single" w:sz="6" w:space="0" w:color="auto"/>
              <w:right w:val="single" w:sz="6" w:space="0" w:color="auto"/>
            </w:tcBorders>
          </w:tcPr>
          <w:p w:rsidR="00486DE4" w:rsidRDefault="00486DE4" w:rsidP="005A2054">
            <w:pPr>
              <w:pStyle w:val="tekstost"/>
              <w:numPr>
                <w:ilvl w:val="12"/>
                <w:numId w:val="0"/>
              </w:numPr>
              <w:spacing w:before="180" w:after="60"/>
              <w:jc w:val="center"/>
              <w:rPr>
                <w:sz w:val="24"/>
              </w:rPr>
            </w:pPr>
            <w:r>
              <w:rPr>
                <w:sz w:val="24"/>
              </w:rPr>
              <w:t>4</w:t>
            </w:r>
          </w:p>
        </w:tc>
        <w:tc>
          <w:tcPr>
            <w:tcW w:w="3612" w:type="dxa"/>
            <w:tcBorders>
              <w:top w:val="single" w:sz="6" w:space="0" w:color="auto"/>
              <w:left w:val="single" w:sz="6" w:space="0" w:color="auto"/>
              <w:bottom w:val="single" w:sz="6" w:space="0" w:color="auto"/>
              <w:right w:val="single" w:sz="6" w:space="0" w:color="auto"/>
            </w:tcBorders>
          </w:tcPr>
          <w:p w:rsidR="00486DE4" w:rsidRDefault="00486DE4" w:rsidP="005A2054">
            <w:pPr>
              <w:pStyle w:val="tekstost"/>
              <w:numPr>
                <w:ilvl w:val="12"/>
                <w:numId w:val="0"/>
              </w:numPr>
              <w:spacing w:before="180" w:after="60"/>
              <w:rPr>
                <w:sz w:val="24"/>
              </w:rPr>
            </w:pPr>
            <w:r>
              <w:rPr>
                <w:sz w:val="24"/>
              </w:rPr>
              <w:t>Badanie właściwości kruszywa wg tab. 1, punkt 2.3.2</w:t>
            </w:r>
          </w:p>
        </w:tc>
        <w:tc>
          <w:tcPr>
            <w:tcW w:w="4775" w:type="dxa"/>
            <w:gridSpan w:val="2"/>
            <w:tcBorders>
              <w:top w:val="single" w:sz="6" w:space="0" w:color="auto"/>
              <w:left w:val="single" w:sz="6" w:space="0" w:color="auto"/>
              <w:bottom w:val="single" w:sz="6" w:space="0" w:color="auto"/>
              <w:right w:val="single" w:sz="6" w:space="0" w:color="auto"/>
            </w:tcBorders>
          </w:tcPr>
          <w:p w:rsidR="00486DE4" w:rsidRDefault="00486DE4" w:rsidP="005A2054">
            <w:pPr>
              <w:pStyle w:val="tekstost"/>
              <w:numPr>
                <w:ilvl w:val="12"/>
                <w:numId w:val="0"/>
              </w:numPr>
              <w:spacing w:before="60" w:after="60"/>
              <w:jc w:val="center"/>
              <w:rPr>
                <w:sz w:val="24"/>
              </w:rPr>
            </w:pPr>
            <w:r>
              <w:rPr>
                <w:sz w:val="24"/>
              </w:rPr>
              <w:t>przy każdej zmianie kruszywa i nie rzadziej niż 1 badanie pełne na 2 miesiące wykonywania warstwy z jednego rodzaju kruszywa (źródła)</w:t>
            </w:r>
          </w:p>
        </w:tc>
      </w:tr>
    </w:tbl>
    <w:p w:rsidR="00486DE4" w:rsidRDefault="00486DE4" w:rsidP="00486DE4">
      <w:pPr>
        <w:pStyle w:val="tekstost"/>
        <w:numPr>
          <w:ilvl w:val="12"/>
          <w:numId w:val="0"/>
        </w:numPr>
        <w:rPr>
          <w:sz w:val="24"/>
        </w:rPr>
      </w:pPr>
    </w:p>
    <w:p w:rsidR="00486DE4" w:rsidRPr="00B029BA" w:rsidRDefault="00486DE4" w:rsidP="00486DE4">
      <w:pPr>
        <w:pStyle w:val="Nagwek3"/>
        <w:rPr>
          <w:rFonts w:asciiTheme="minorHAnsi" w:hAnsiTheme="minorHAnsi" w:cstheme="minorHAnsi"/>
        </w:rPr>
      </w:pPr>
      <w:r w:rsidRPr="00B029BA">
        <w:rPr>
          <w:rFonts w:asciiTheme="minorHAnsi" w:hAnsiTheme="minorHAnsi" w:cstheme="minorHAnsi"/>
        </w:rPr>
        <w:t>Uziarnienie mieszanki</w:t>
      </w:r>
    </w:p>
    <w:p w:rsidR="00486DE4" w:rsidRDefault="00486DE4" w:rsidP="00486DE4">
      <w:pPr>
        <w:pStyle w:val="Standardowytekst"/>
        <w:numPr>
          <w:ilvl w:val="12"/>
          <w:numId w:val="0"/>
        </w:numPr>
        <w:ind w:left="810"/>
        <w:rPr>
          <w:sz w:val="24"/>
        </w:rPr>
      </w:pP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Uziarnienie mieszanki powinno być zgodne z wymaganiami podanymi w punkcie 2.3. Próbki należy pobierać w sposób losowy, z rozłożonej warstwy, przed jej zagęszczeniem. Wyniki badań powinny być na bieżąco przekazywane Inżynierowi.</w:t>
      </w:r>
    </w:p>
    <w:p w:rsidR="00486DE4" w:rsidRDefault="00486DE4" w:rsidP="00486DE4">
      <w:pPr>
        <w:pStyle w:val="Standardowytekst"/>
        <w:numPr>
          <w:ilvl w:val="12"/>
          <w:numId w:val="0"/>
        </w:numPr>
        <w:ind w:left="810"/>
        <w:rPr>
          <w:sz w:val="24"/>
        </w:rPr>
      </w:pPr>
    </w:p>
    <w:p w:rsidR="00486DE4" w:rsidRPr="00B029BA" w:rsidRDefault="00486DE4" w:rsidP="00486DE4">
      <w:pPr>
        <w:pStyle w:val="Nagwek3"/>
        <w:rPr>
          <w:rFonts w:asciiTheme="minorHAnsi" w:hAnsiTheme="minorHAnsi" w:cstheme="minorHAnsi"/>
        </w:rPr>
      </w:pPr>
      <w:r w:rsidRPr="00B029BA">
        <w:rPr>
          <w:rFonts w:asciiTheme="minorHAnsi" w:hAnsiTheme="minorHAnsi" w:cstheme="minorHAnsi"/>
        </w:rPr>
        <w:t>Zagęszczenie i nośność podbudowy</w:t>
      </w:r>
    </w:p>
    <w:p w:rsidR="00486DE4" w:rsidRDefault="00486DE4" w:rsidP="00486DE4">
      <w:pPr>
        <w:pStyle w:val="Standardowytekst"/>
        <w:numPr>
          <w:ilvl w:val="12"/>
          <w:numId w:val="0"/>
        </w:numPr>
        <w:ind w:left="810"/>
        <w:rPr>
          <w:sz w:val="24"/>
        </w:rPr>
      </w:pPr>
    </w:p>
    <w:p w:rsidR="00486DE4"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Zagęszczenie i nośność podbudowy należy badać wg zasad podanych w punkcie 5.4 niniejszych specyfikacji a uzyskane parametry muszą być zgodne z wartościami określonymi w tablicy 2.</w:t>
      </w:r>
    </w:p>
    <w:p w:rsidR="00486DE4" w:rsidRPr="00B029BA" w:rsidRDefault="00486DE4" w:rsidP="00486DE4"/>
    <w:p w:rsidR="00486DE4" w:rsidRPr="00B029BA" w:rsidRDefault="00486DE4" w:rsidP="00486DE4">
      <w:pPr>
        <w:pStyle w:val="Nagwek3"/>
        <w:rPr>
          <w:rFonts w:asciiTheme="minorHAnsi" w:hAnsiTheme="minorHAnsi" w:cstheme="minorHAnsi"/>
        </w:rPr>
      </w:pPr>
      <w:r w:rsidRPr="00B029BA">
        <w:rPr>
          <w:rFonts w:asciiTheme="minorHAnsi" w:hAnsiTheme="minorHAnsi" w:cstheme="minorHAnsi"/>
        </w:rPr>
        <w:t>Właściwości kruszywa</w:t>
      </w:r>
    </w:p>
    <w:p w:rsidR="00486DE4" w:rsidRDefault="00486DE4" w:rsidP="00486DE4">
      <w:pPr>
        <w:pStyle w:val="Standardowytekst"/>
        <w:numPr>
          <w:ilvl w:val="12"/>
          <w:numId w:val="0"/>
        </w:numPr>
        <w:ind w:left="810"/>
        <w:rPr>
          <w:sz w:val="24"/>
        </w:rPr>
      </w:pPr>
    </w:p>
    <w:p w:rsidR="00486DE4"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Badania kruszywa powinny obejmować ocenę wszystkich właściwości określonych w punkcie 2.3.2. Próbki do badań pełnych powinny być pobierane przez Wykonawcę w sposób losowy w obecności Inżyniera.</w:t>
      </w:r>
    </w:p>
    <w:p w:rsidR="00486DE4" w:rsidRPr="00B029BA" w:rsidRDefault="00486DE4" w:rsidP="00486DE4"/>
    <w:p w:rsidR="00486DE4" w:rsidRPr="00B029BA" w:rsidRDefault="00486DE4" w:rsidP="00486DE4">
      <w:pPr>
        <w:pStyle w:val="Nagwek2"/>
        <w:tabs>
          <w:tab w:val="num" w:pos="540"/>
        </w:tabs>
        <w:rPr>
          <w:rFonts w:asciiTheme="minorHAnsi" w:hAnsiTheme="minorHAnsi" w:cstheme="minorHAnsi"/>
          <w:u w:val="single"/>
        </w:rPr>
      </w:pPr>
      <w:r w:rsidRPr="00B029BA">
        <w:rPr>
          <w:rFonts w:asciiTheme="minorHAnsi" w:hAnsiTheme="minorHAnsi" w:cstheme="minorHAnsi"/>
          <w:u w:val="single"/>
        </w:rPr>
        <w:lastRenderedPageBreak/>
        <w:t xml:space="preserve">Wymagania dotyczące cech geometrycznych podbudowy </w:t>
      </w:r>
    </w:p>
    <w:p w:rsidR="00486DE4" w:rsidRPr="00B029BA" w:rsidRDefault="00486DE4" w:rsidP="00486DE4">
      <w:pPr>
        <w:pStyle w:val="Nagwek3"/>
        <w:rPr>
          <w:rFonts w:asciiTheme="minorHAnsi" w:hAnsiTheme="minorHAnsi" w:cstheme="minorHAnsi"/>
        </w:rPr>
      </w:pPr>
      <w:r w:rsidRPr="00B029BA">
        <w:rPr>
          <w:rFonts w:asciiTheme="minorHAnsi" w:hAnsiTheme="minorHAnsi" w:cstheme="minorHAnsi"/>
        </w:rPr>
        <w:t>Częstotliwość oraz zakres pomiarów</w:t>
      </w:r>
    </w:p>
    <w:p w:rsidR="00486DE4" w:rsidRDefault="00486DE4" w:rsidP="00486DE4">
      <w:pPr>
        <w:pStyle w:val="Standardowytekst"/>
        <w:numPr>
          <w:ilvl w:val="12"/>
          <w:numId w:val="0"/>
        </w:numPr>
        <w:ind w:left="1416"/>
        <w:rPr>
          <w:sz w:val="24"/>
        </w:rPr>
      </w:pP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Częstotliwość oraz zakres pomiarów dotyczących cech geometrycznych podbudowy podano w tablicy 4.</w:t>
      </w: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Tablica 4.</w:t>
      </w:r>
      <w:r w:rsidRPr="00B029BA">
        <w:rPr>
          <w:rFonts w:asciiTheme="minorHAnsi" w:hAnsiTheme="minorHAnsi" w:cstheme="minorHAnsi"/>
          <w:spacing w:val="-3"/>
          <w:sz w:val="24"/>
          <w:szCs w:val="24"/>
        </w:rPr>
        <w:tab/>
        <w:t>Częstotliwość oraz zakres pomiarów wykonanej podbudowy z kruszywa</w:t>
      </w:r>
    </w:p>
    <w:p w:rsidR="00486DE4" w:rsidRDefault="00486DE4" w:rsidP="00486DE4">
      <w:pPr>
        <w:pStyle w:val="Nagwek"/>
        <w:numPr>
          <w:ilvl w:val="12"/>
          <w:numId w:val="0"/>
        </w:numPr>
        <w:tabs>
          <w:tab w:val="clear" w:pos="4536"/>
          <w:tab w:val="clear" w:pos="9072"/>
          <w:tab w:val="left" w:pos="1620"/>
        </w:tabs>
        <w:spacing w:after="120"/>
      </w:pPr>
      <w:r>
        <w:tab/>
        <w:t>stabilizowanego mechanicznie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67"/>
        <w:gridCol w:w="4716"/>
      </w:tblGrid>
      <w:tr w:rsidR="00486DE4" w:rsidTr="005A2054">
        <w:tc>
          <w:tcPr>
            <w:tcW w:w="637" w:type="dxa"/>
            <w:tcBorders>
              <w:top w:val="single" w:sz="6" w:space="0" w:color="auto"/>
              <w:left w:val="single" w:sz="6" w:space="0" w:color="auto"/>
              <w:bottom w:val="double" w:sz="6" w:space="0" w:color="auto"/>
              <w:right w:val="single" w:sz="6" w:space="0" w:color="auto"/>
            </w:tcBorders>
          </w:tcPr>
          <w:p w:rsidR="00486DE4" w:rsidRDefault="00486DE4" w:rsidP="005A2054">
            <w:pPr>
              <w:numPr>
                <w:ilvl w:val="12"/>
                <w:numId w:val="0"/>
              </w:numPr>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tcPr>
          <w:p w:rsidR="00486DE4" w:rsidRDefault="00486DE4" w:rsidP="005A2054">
            <w:pPr>
              <w:numPr>
                <w:ilvl w:val="12"/>
                <w:numId w:val="0"/>
              </w:numPr>
              <w:spacing w:before="60" w:after="60"/>
              <w:ind w:right="-11"/>
              <w:jc w:val="center"/>
              <w:rPr>
                <w:b/>
              </w:rPr>
            </w:pPr>
            <w:r>
              <w:t>Wyszczególnienie badań i pomiarów</w:t>
            </w:r>
          </w:p>
        </w:tc>
        <w:tc>
          <w:tcPr>
            <w:tcW w:w="4716" w:type="dxa"/>
            <w:tcBorders>
              <w:top w:val="single" w:sz="6" w:space="0" w:color="auto"/>
              <w:left w:val="single" w:sz="6" w:space="0" w:color="auto"/>
              <w:bottom w:val="double" w:sz="6" w:space="0" w:color="auto"/>
              <w:right w:val="single" w:sz="6" w:space="0" w:color="auto"/>
            </w:tcBorders>
          </w:tcPr>
          <w:p w:rsidR="00486DE4" w:rsidRDefault="00486DE4" w:rsidP="005A2054">
            <w:pPr>
              <w:numPr>
                <w:ilvl w:val="12"/>
                <w:numId w:val="0"/>
              </w:numPr>
              <w:spacing w:before="60" w:after="60"/>
              <w:ind w:right="-11"/>
              <w:jc w:val="center"/>
              <w:rPr>
                <w:b/>
              </w:rPr>
            </w:pPr>
            <w:r>
              <w:t>Minimalna częstotliwość pomiarów</w:t>
            </w:r>
          </w:p>
        </w:tc>
      </w:tr>
      <w:tr w:rsidR="00486DE4" w:rsidTr="005A2054">
        <w:tc>
          <w:tcPr>
            <w:tcW w:w="637" w:type="dxa"/>
            <w:tcBorders>
              <w:top w:val="nil"/>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rPr>
                <w:b/>
              </w:rPr>
            </w:pPr>
            <w:r>
              <w:t xml:space="preserve">Szerokość podbudowy </w:t>
            </w:r>
          </w:p>
        </w:tc>
        <w:tc>
          <w:tcPr>
            <w:tcW w:w="4716" w:type="dxa"/>
            <w:tcBorders>
              <w:top w:val="nil"/>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rPr>
                <w:b/>
              </w:rPr>
            </w:pPr>
            <w:r>
              <w:t>10 razy na 1 km</w:t>
            </w:r>
          </w:p>
        </w:tc>
      </w:tr>
      <w:tr w:rsidR="00486DE4" w:rsidTr="005A2054">
        <w:tc>
          <w:tcPr>
            <w:tcW w:w="63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120" w:after="60"/>
              <w:ind w:right="-11"/>
              <w:rPr>
                <w:b/>
              </w:rPr>
            </w:pPr>
            <w:r>
              <w:t>Równość podłużna</w:t>
            </w:r>
          </w:p>
        </w:tc>
        <w:tc>
          <w:tcPr>
            <w:tcW w:w="4716"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ind w:right="-11"/>
              <w:rPr>
                <w:b/>
              </w:rPr>
            </w:pPr>
            <w:r>
              <w:t xml:space="preserve">w sposób ciągły </w:t>
            </w:r>
            <w:proofErr w:type="spellStart"/>
            <w:r>
              <w:t>planografem</w:t>
            </w:r>
            <w:proofErr w:type="spellEnd"/>
            <w:r>
              <w:t xml:space="preserve"> albo co 20 m łatą na każdym pasie ruchu</w:t>
            </w:r>
          </w:p>
        </w:tc>
      </w:tr>
      <w:tr w:rsidR="00486DE4" w:rsidTr="005A2054">
        <w:tc>
          <w:tcPr>
            <w:tcW w:w="63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rPr>
                <w:b/>
              </w:rPr>
            </w:pPr>
            <w:r>
              <w:t>Równość poprzeczna</w:t>
            </w:r>
          </w:p>
        </w:tc>
        <w:tc>
          <w:tcPr>
            <w:tcW w:w="4716"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rPr>
                <w:b/>
              </w:rPr>
            </w:pPr>
            <w:r>
              <w:t>10 razy na 1 km</w:t>
            </w:r>
          </w:p>
        </w:tc>
      </w:tr>
      <w:tr w:rsidR="00486DE4" w:rsidTr="005A2054">
        <w:tc>
          <w:tcPr>
            <w:tcW w:w="63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rPr>
                <w:b/>
              </w:rPr>
            </w:pPr>
            <w:r>
              <w:t>Spadki poprzeczne*</w:t>
            </w:r>
            <w:r>
              <w:rPr>
                <w:vertAlign w:val="superscript"/>
              </w:rPr>
              <w:t>)</w:t>
            </w:r>
          </w:p>
        </w:tc>
        <w:tc>
          <w:tcPr>
            <w:tcW w:w="4716" w:type="dxa"/>
            <w:tcBorders>
              <w:top w:val="single" w:sz="6" w:space="0" w:color="auto"/>
              <w:left w:val="single" w:sz="6" w:space="0" w:color="auto"/>
              <w:bottom w:val="nil"/>
              <w:right w:val="single" w:sz="6" w:space="0" w:color="auto"/>
            </w:tcBorders>
          </w:tcPr>
          <w:p w:rsidR="00486DE4" w:rsidRDefault="00486DE4" w:rsidP="005A2054">
            <w:pPr>
              <w:numPr>
                <w:ilvl w:val="12"/>
                <w:numId w:val="0"/>
              </w:numPr>
              <w:spacing w:before="60" w:after="60"/>
              <w:ind w:right="-14"/>
              <w:rPr>
                <w:b/>
              </w:rPr>
            </w:pPr>
            <w:r>
              <w:t>10 razy na 1 km</w:t>
            </w:r>
          </w:p>
        </w:tc>
      </w:tr>
      <w:tr w:rsidR="00486DE4" w:rsidTr="005A2054">
        <w:tc>
          <w:tcPr>
            <w:tcW w:w="63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1"/>
              <w:rPr>
                <w:b/>
              </w:rPr>
            </w:pPr>
            <w:r>
              <w:t>Rzędne wysokościowe</w:t>
            </w:r>
          </w:p>
        </w:tc>
        <w:tc>
          <w:tcPr>
            <w:tcW w:w="4716"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1"/>
            </w:pPr>
            <w:r>
              <w:t>co 10 m, w trzech punktach w przekroju poprzecznym dla każdej jezdni (obie krawędzie i oś) – przed przystąpieniem do robót Wykonawca przedstawi Inżynierowi do akceptacji propozycję miejsc pomiarowych dla wszystkich warstw</w:t>
            </w:r>
          </w:p>
        </w:tc>
      </w:tr>
      <w:tr w:rsidR="00486DE4" w:rsidTr="005A2054">
        <w:tc>
          <w:tcPr>
            <w:tcW w:w="63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4"/>
              <w:rPr>
                <w:b/>
              </w:rPr>
            </w:pPr>
            <w:r>
              <w:t>Ukształtowanie osi w planie*</w:t>
            </w:r>
            <w:r>
              <w:rPr>
                <w:vertAlign w:val="superscript"/>
              </w:rPr>
              <w:t>)</w:t>
            </w:r>
          </w:p>
        </w:tc>
        <w:tc>
          <w:tcPr>
            <w:tcW w:w="4716" w:type="dxa"/>
            <w:tcBorders>
              <w:top w:val="nil"/>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1"/>
              <w:rPr>
                <w:b/>
              </w:rPr>
            </w:pPr>
            <w:r>
              <w:t>10 razy na 1 km</w:t>
            </w:r>
          </w:p>
        </w:tc>
      </w:tr>
      <w:tr w:rsidR="00486DE4" w:rsidTr="005A2054">
        <w:tc>
          <w:tcPr>
            <w:tcW w:w="63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after="60"/>
              <w:ind w:right="-11"/>
              <w:rPr>
                <w:b/>
              </w:rPr>
            </w:pPr>
            <w:r>
              <w:t xml:space="preserve">Grubość podbudowy </w:t>
            </w:r>
          </w:p>
        </w:tc>
        <w:tc>
          <w:tcPr>
            <w:tcW w:w="4716" w:type="dxa"/>
            <w:tcBorders>
              <w:top w:val="single" w:sz="6" w:space="0" w:color="auto"/>
              <w:left w:val="single" w:sz="6" w:space="0" w:color="auto"/>
              <w:bottom w:val="single" w:sz="6" w:space="0" w:color="auto"/>
              <w:right w:val="single" w:sz="6" w:space="0" w:color="auto"/>
            </w:tcBorders>
          </w:tcPr>
          <w:p w:rsidR="00486DE4" w:rsidRDefault="00486DE4" w:rsidP="005A2054">
            <w:pPr>
              <w:numPr>
                <w:ilvl w:val="12"/>
                <w:numId w:val="0"/>
              </w:numPr>
              <w:spacing w:before="60"/>
              <w:ind w:right="-11"/>
            </w:pPr>
            <w:r>
              <w:t>Podczas budowy:</w:t>
            </w:r>
          </w:p>
          <w:p w:rsidR="00486DE4" w:rsidRDefault="00486DE4" w:rsidP="005A2054">
            <w:pPr>
              <w:numPr>
                <w:ilvl w:val="12"/>
                <w:numId w:val="0"/>
              </w:numPr>
              <w:ind w:right="-11"/>
              <w:rPr>
                <w:b/>
              </w:rPr>
            </w:pPr>
            <w:r>
              <w:t>w 3 punktach na każdej działce roboczej, lecz nie rzadziej niż raz na 2000 m</w:t>
            </w:r>
            <w:r>
              <w:rPr>
                <w:vertAlign w:val="superscript"/>
              </w:rPr>
              <w:t>2</w:t>
            </w:r>
          </w:p>
        </w:tc>
      </w:tr>
    </w:tbl>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 Dodatkowe pomiary spadków poprzecznych i ukształtowania osi w planie należy wykonać w punktach głównych łuków poziomych.</w:t>
      </w:r>
    </w:p>
    <w:p w:rsidR="00486DE4" w:rsidRDefault="00486DE4" w:rsidP="00486DE4">
      <w:pPr>
        <w:pStyle w:val="Tekstblokowy"/>
      </w:pPr>
    </w:p>
    <w:p w:rsidR="00486DE4" w:rsidRPr="00B029BA" w:rsidRDefault="00486DE4" w:rsidP="00486DE4">
      <w:pPr>
        <w:pStyle w:val="Nagwek3"/>
        <w:rPr>
          <w:rFonts w:asciiTheme="minorHAnsi" w:hAnsiTheme="minorHAnsi" w:cstheme="minorHAnsi"/>
        </w:rPr>
      </w:pPr>
      <w:r w:rsidRPr="00B029BA">
        <w:rPr>
          <w:rFonts w:asciiTheme="minorHAnsi" w:hAnsiTheme="minorHAnsi" w:cstheme="minorHAnsi"/>
        </w:rPr>
        <w:t>Dopuszczalne tolerancje od wielkości projektowanych cech geometrycznych podbudowy</w:t>
      </w: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Tablica 5.</w:t>
      </w:r>
      <w:r w:rsidRPr="00B029BA">
        <w:rPr>
          <w:rFonts w:asciiTheme="minorHAnsi" w:hAnsiTheme="minorHAnsi" w:cstheme="minorHAnsi"/>
          <w:spacing w:val="-3"/>
          <w:sz w:val="24"/>
          <w:szCs w:val="24"/>
        </w:rPr>
        <w:tab/>
        <w:t>Dopuszczalne tolerancje od wielkości projektowanych cech geometrycznych podbudowy</w:t>
      </w:r>
    </w:p>
    <w:tbl>
      <w:tblPr>
        <w:tblW w:w="9114" w:type="dxa"/>
        <w:tblInd w:w="496" w:type="dxa"/>
        <w:tblLayout w:type="fixed"/>
        <w:tblCellMar>
          <w:left w:w="70" w:type="dxa"/>
          <w:right w:w="70" w:type="dxa"/>
        </w:tblCellMar>
        <w:tblLook w:val="0000"/>
      </w:tblPr>
      <w:tblGrid>
        <w:gridCol w:w="567"/>
        <w:gridCol w:w="3687"/>
        <w:gridCol w:w="1260"/>
        <w:gridCol w:w="3600"/>
      </w:tblGrid>
      <w:tr w:rsidR="00486DE4" w:rsidTr="005A2054">
        <w:tc>
          <w:tcPr>
            <w:tcW w:w="56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L.p.</w:t>
            </w:r>
          </w:p>
        </w:tc>
        <w:tc>
          <w:tcPr>
            <w:tcW w:w="368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Wielkość mierzona</w:t>
            </w:r>
          </w:p>
        </w:tc>
        <w:tc>
          <w:tcPr>
            <w:tcW w:w="126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Jednostka</w:t>
            </w:r>
          </w:p>
        </w:tc>
        <w:tc>
          <w:tcPr>
            <w:tcW w:w="360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Tolerancja</w:t>
            </w:r>
          </w:p>
        </w:tc>
      </w:tr>
      <w:tr w:rsidR="00486DE4" w:rsidTr="005A2054">
        <w:tc>
          <w:tcPr>
            <w:tcW w:w="56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1</w:t>
            </w:r>
          </w:p>
        </w:tc>
        <w:tc>
          <w:tcPr>
            <w:tcW w:w="368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left"/>
              <w:rPr>
                <w:sz w:val="24"/>
              </w:rPr>
            </w:pPr>
            <w:r>
              <w:rPr>
                <w:sz w:val="24"/>
              </w:rPr>
              <w:t>Szerokość warstwy</w:t>
            </w:r>
          </w:p>
        </w:tc>
        <w:tc>
          <w:tcPr>
            <w:tcW w:w="126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cm</w:t>
            </w:r>
          </w:p>
        </w:tc>
        <w:tc>
          <w:tcPr>
            <w:tcW w:w="360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+10/-5</w:t>
            </w:r>
          </w:p>
        </w:tc>
      </w:tr>
      <w:tr w:rsidR="00486DE4" w:rsidTr="005A2054">
        <w:tc>
          <w:tcPr>
            <w:tcW w:w="56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2</w:t>
            </w:r>
          </w:p>
        </w:tc>
        <w:tc>
          <w:tcPr>
            <w:tcW w:w="368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left"/>
              <w:rPr>
                <w:sz w:val="24"/>
              </w:rPr>
            </w:pPr>
            <w:r>
              <w:rPr>
                <w:sz w:val="24"/>
              </w:rPr>
              <w:t xml:space="preserve">Nierówności podłużne lub </w:t>
            </w:r>
            <w:r>
              <w:rPr>
                <w:sz w:val="24"/>
              </w:rPr>
              <w:lastRenderedPageBreak/>
              <w:t xml:space="preserve">porzeczne mierzone łatą 4 m zgodnie z normą BN-68/8931-04 </w:t>
            </w:r>
          </w:p>
        </w:tc>
        <w:tc>
          <w:tcPr>
            <w:tcW w:w="1260" w:type="dxa"/>
            <w:tcBorders>
              <w:top w:val="single" w:sz="6" w:space="0" w:color="auto"/>
              <w:left w:val="single" w:sz="6" w:space="0" w:color="auto"/>
              <w:bottom w:val="single" w:sz="6" w:space="0" w:color="auto"/>
              <w:right w:val="single" w:sz="6" w:space="0" w:color="auto"/>
            </w:tcBorders>
            <w:vAlign w:val="bottom"/>
          </w:tcPr>
          <w:p w:rsidR="00486DE4" w:rsidRDefault="00486DE4" w:rsidP="005A2054">
            <w:pPr>
              <w:pStyle w:val="Standardowytekst"/>
              <w:jc w:val="center"/>
              <w:rPr>
                <w:sz w:val="24"/>
              </w:rPr>
            </w:pPr>
            <w:r>
              <w:rPr>
                <w:sz w:val="24"/>
              </w:rPr>
              <w:lastRenderedPageBreak/>
              <w:t>mm</w:t>
            </w:r>
          </w:p>
        </w:tc>
        <w:tc>
          <w:tcPr>
            <w:tcW w:w="3600" w:type="dxa"/>
            <w:tcBorders>
              <w:top w:val="single" w:sz="6" w:space="0" w:color="auto"/>
              <w:left w:val="single" w:sz="6" w:space="0" w:color="auto"/>
              <w:bottom w:val="single" w:sz="6" w:space="0" w:color="auto"/>
              <w:right w:val="single" w:sz="6" w:space="0" w:color="auto"/>
            </w:tcBorders>
            <w:vAlign w:val="bottom"/>
          </w:tcPr>
          <w:p w:rsidR="00486DE4" w:rsidRDefault="00486DE4" w:rsidP="005A2054">
            <w:pPr>
              <w:pStyle w:val="Standardowytekst"/>
              <w:jc w:val="center"/>
              <w:rPr>
                <w:sz w:val="24"/>
              </w:rPr>
            </w:pPr>
            <w:r>
              <w:rPr>
                <w:sz w:val="24"/>
              </w:rPr>
              <w:t>10 – podbudowa zasadnicza</w:t>
            </w:r>
          </w:p>
          <w:p w:rsidR="00486DE4" w:rsidRDefault="00486DE4" w:rsidP="005A2054">
            <w:pPr>
              <w:pStyle w:val="Standardowytekst"/>
              <w:jc w:val="center"/>
              <w:rPr>
                <w:sz w:val="24"/>
              </w:rPr>
            </w:pPr>
            <w:r>
              <w:rPr>
                <w:sz w:val="24"/>
              </w:rPr>
              <w:lastRenderedPageBreak/>
              <w:t>20 – podbudowa pomocnicza</w:t>
            </w:r>
          </w:p>
        </w:tc>
      </w:tr>
      <w:tr w:rsidR="00486DE4" w:rsidTr="005A2054">
        <w:tc>
          <w:tcPr>
            <w:tcW w:w="56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lastRenderedPageBreak/>
              <w:t>3</w:t>
            </w:r>
          </w:p>
        </w:tc>
        <w:tc>
          <w:tcPr>
            <w:tcW w:w="368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left"/>
              <w:rPr>
                <w:sz w:val="24"/>
              </w:rPr>
            </w:pPr>
            <w:r>
              <w:rPr>
                <w:sz w:val="24"/>
              </w:rPr>
              <w:t>Spadki poprzeczne</w:t>
            </w:r>
          </w:p>
        </w:tc>
        <w:tc>
          <w:tcPr>
            <w:tcW w:w="126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w:t>
            </w:r>
          </w:p>
        </w:tc>
        <w:tc>
          <w:tcPr>
            <w:tcW w:w="360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sym w:font="Symbol" w:char="F0B1"/>
            </w:r>
            <w:r>
              <w:rPr>
                <w:sz w:val="24"/>
              </w:rPr>
              <w:t xml:space="preserve"> 0,5</w:t>
            </w:r>
          </w:p>
        </w:tc>
      </w:tr>
      <w:tr w:rsidR="00486DE4" w:rsidTr="005A2054">
        <w:tc>
          <w:tcPr>
            <w:tcW w:w="56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4</w:t>
            </w:r>
          </w:p>
        </w:tc>
        <w:tc>
          <w:tcPr>
            <w:tcW w:w="368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left"/>
              <w:rPr>
                <w:sz w:val="24"/>
              </w:rPr>
            </w:pPr>
            <w:r>
              <w:rPr>
                <w:sz w:val="24"/>
              </w:rPr>
              <w:t>Rzędne wysokościowe</w:t>
            </w:r>
          </w:p>
        </w:tc>
        <w:tc>
          <w:tcPr>
            <w:tcW w:w="126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cm</w:t>
            </w:r>
          </w:p>
        </w:tc>
        <w:tc>
          <w:tcPr>
            <w:tcW w:w="360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-1/+0</w:t>
            </w:r>
          </w:p>
        </w:tc>
      </w:tr>
      <w:tr w:rsidR="00486DE4" w:rsidTr="005A2054">
        <w:tc>
          <w:tcPr>
            <w:tcW w:w="56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5</w:t>
            </w:r>
          </w:p>
        </w:tc>
        <w:tc>
          <w:tcPr>
            <w:tcW w:w="368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left"/>
              <w:rPr>
                <w:sz w:val="24"/>
              </w:rPr>
            </w:pPr>
            <w:r>
              <w:rPr>
                <w:sz w:val="24"/>
              </w:rPr>
              <w:t>Ukształtowanie osi w planie</w:t>
            </w:r>
          </w:p>
        </w:tc>
        <w:tc>
          <w:tcPr>
            <w:tcW w:w="126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cm</w:t>
            </w:r>
          </w:p>
        </w:tc>
        <w:tc>
          <w:tcPr>
            <w:tcW w:w="360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sym w:font="Symbol" w:char="F0B1"/>
            </w:r>
            <w:r>
              <w:rPr>
                <w:sz w:val="24"/>
              </w:rPr>
              <w:t xml:space="preserve"> 5</w:t>
            </w:r>
          </w:p>
        </w:tc>
      </w:tr>
      <w:tr w:rsidR="00486DE4" w:rsidTr="005A2054">
        <w:tc>
          <w:tcPr>
            <w:tcW w:w="56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6</w:t>
            </w:r>
          </w:p>
        </w:tc>
        <w:tc>
          <w:tcPr>
            <w:tcW w:w="3687"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left"/>
              <w:rPr>
                <w:sz w:val="24"/>
              </w:rPr>
            </w:pPr>
            <w:r>
              <w:rPr>
                <w:sz w:val="24"/>
              </w:rPr>
              <w:t>Grubość warstwy</w:t>
            </w:r>
          </w:p>
        </w:tc>
        <w:tc>
          <w:tcPr>
            <w:tcW w:w="126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t>%</w:t>
            </w:r>
          </w:p>
        </w:tc>
        <w:tc>
          <w:tcPr>
            <w:tcW w:w="3600" w:type="dxa"/>
            <w:tcBorders>
              <w:top w:val="single" w:sz="6" w:space="0" w:color="auto"/>
              <w:left w:val="single" w:sz="6" w:space="0" w:color="auto"/>
              <w:bottom w:val="single" w:sz="6" w:space="0" w:color="auto"/>
              <w:right w:val="single" w:sz="6" w:space="0" w:color="auto"/>
            </w:tcBorders>
          </w:tcPr>
          <w:p w:rsidR="00486DE4" w:rsidRDefault="00486DE4" w:rsidP="005A2054">
            <w:pPr>
              <w:pStyle w:val="Standardowytekst"/>
              <w:jc w:val="center"/>
              <w:rPr>
                <w:sz w:val="24"/>
              </w:rPr>
            </w:pPr>
            <w:r>
              <w:rPr>
                <w:sz w:val="24"/>
              </w:rPr>
              <w:sym w:font="Symbol" w:char="F0B1"/>
            </w:r>
            <w:r>
              <w:rPr>
                <w:sz w:val="24"/>
              </w:rPr>
              <w:t xml:space="preserve"> 10 – podbudowa zasadnicza</w:t>
            </w:r>
          </w:p>
          <w:p w:rsidR="00486DE4" w:rsidRDefault="00486DE4" w:rsidP="005A2054">
            <w:pPr>
              <w:pStyle w:val="Standardowytekst"/>
              <w:jc w:val="center"/>
              <w:rPr>
                <w:sz w:val="24"/>
              </w:rPr>
            </w:pPr>
            <w:r>
              <w:rPr>
                <w:sz w:val="24"/>
              </w:rPr>
              <w:t>+10; -15 – podbudowa pomocnicza</w:t>
            </w:r>
          </w:p>
        </w:tc>
      </w:tr>
    </w:tbl>
    <w:p w:rsidR="00486DE4" w:rsidRDefault="00486DE4" w:rsidP="00486DE4"/>
    <w:p w:rsidR="00486DE4" w:rsidRPr="00B029BA" w:rsidRDefault="00486DE4" w:rsidP="00486DE4">
      <w:pPr>
        <w:pStyle w:val="Nagwek2"/>
        <w:tabs>
          <w:tab w:val="num" w:pos="540"/>
        </w:tabs>
        <w:rPr>
          <w:rFonts w:asciiTheme="minorHAnsi" w:hAnsiTheme="minorHAnsi" w:cstheme="minorHAnsi"/>
          <w:u w:val="single"/>
        </w:rPr>
      </w:pPr>
      <w:r w:rsidRPr="00B029BA">
        <w:rPr>
          <w:rFonts w:asciiTheme="minorHAnsi" w:hAnsiTheme="minorHAnsi" w:cstheme="minorHAnsi"/>
          <w:u w:val="single"/>
        </w:rPr>
        <w:t xml:space="preserve">Zasady postępowania z wadliwie wykonanymi odcinkami podbudowy </w:t>
      </w:r>
    </w:p>
    <w:p w:rsidR="00486DE4" w:rsidRPr="00B029BA" w:rsidRDefault="00486DE4" w:rsidP="00486DE4">
      <w:pPr>
        <w:pStyle w:val="Nagwek3"/>
        <w:rPr>
          <w:rFonts w:asciiTheme="minorHAnsi" w:hAnsiTheme="minorHAnsi" w:cstheme="minorHAnsi"/>
        </w:rPr>
      </w:pPr>
      <w:r w:rsidRPr="00B029BA">
        <w:rPr>
          <w:rFonts w:asciiTheme="minorHAnsi" w:hAnsiTheme="minorHAnsi" w:cstheme="minorHAnsi"/>
        </w:rPr>
        <w:t>Niewłaściwe cechy geometryczne podbudowy</w:t>
      </w:r>
    </w:p>
    <w:p w:rsidR="00486DE4" w:rsidRDefault="00486DE4" w:rsidP="00486DE4">
      <w:pPr>
        <w:pStyle w:val="Standardowytekst"/>
        <w:numPr>
          <w:ilvl w:val="12"/>
          <w:numId w:val="0"/>
        </w:numPr>
        <w:ind w:left="810"/>
      </w:pP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486DE4" w:rsidRPr="00B029BA" w:rsidRDefault="00486DE4" w:rsidP="00486DE4">
      <w:pPr>
        <w:pStyle w:val="Nagwek3"/>
        <w:rPr>
          <w:rFonts w:asciiTheme="minorHAnsi" w:hAnsiTheme="minorHAnsi" w:cstheme="minorHAnsi"/>
        </w:rPr>
      </w:pPr>
      <w:r w:rsidRPr="00B029BA">
        <w:rPr>
          <w:rFonts w:asciiTheme="minorHAnsi" w:hAnsiTheme="minorHAnsi" w:cstheme="minorHAnsi"/>
        </w:rPr>
        <w:t xml:space="preserve">Niewłaściwa grubość podbudowy </w:t>
      </w:r>
    </w:p>
    <w:p w:rsidR="00486DE4" w:rsidRDefault="00486DE4" w:rsidP="00486DE4">
      <w:pPr>
        <w:pStyle w:val="Standardowytekst"/>
        <w:numPr>
          <w:ilvl w:val="12"/>
          <w:numId w:val="0"/>
        </w:numPr>
        <w:ind w:left="810"/>
      </w:pPr>
    </w:p>
    <w:p w:rsidR="00486DE4" w:rsidRPr="00B029BA"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według wyżej podanych zasad, na koszt Wykonawcy.</w:t>
      </w:r>
    </w:p>
    <w:p w:rsidR="00486DE4" w:rsidRPr="00B029BA" w:rsidRDefault="00486DE4" w:rsidP="00486DE4">
      <w:pPr>
        <w:pStyle w:val="Nagwek3"/>
        <w:rPr>
          <w:rFonts w:asciiTheme="minorHAnsi" w:hAnsiTheme="minorHAnsi" w:cstheme="minorHAnsi"/>
        </w:rPr>
      </w:pPr>
      <w:r w:rsidRPr="00B029BA">
        <w:rPr>
          <w:rFonts w:asciiTheme="minorHAnsi" w:hAnsiTheme="minorHAnsi" w:cstheme="minorHAnsi"/>
        </w:rPr>
        <w:t xml:space="preserve"> Niewłaściwa nośność podbudowy </w:t>
      </w:r>
    </w:p>
    <w:p w:rsidR="00486DE4" w:rsidRDefault="00486DE4" w:rsidP="00486DE4">
      <w:pPr>
        <w:pStyle w:val="Standardowytekst"/>
        <w:numPr>
          <w:ilvl w:val="12"/>
          <w:numId w:val="0"/>
        </w:numPr>
        <w:ind w:left="810"/>
      </w:pPr>
    </w:p>
    <w:p w:rsidR="00486DE4" w:rsidRDefault="00486DE4" w:rsidP="00486DE4">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029BA">
        <w:rPr>
          <w:rFonts w:asciiTheme="minorHAnsi" w:hAnsiTheme="minorHAnsi" w:cstheme="minorHAnsi"/>
          <w:spacing w:val="-3"/>
          <w:sz w:val="24"/>
          <w:szCs w:val="24"/>
        </w:rPr>
        <w:t>Jeżeli nośność podbudowy będzie mniejsza od wymaganej, to Wykonawca wykona wszelkie roboty niezbędne do zapewnienia wymaganej nośności, zalecone przez Inżyniera. Koszty tych dodatkowych robót poniesie Wykonawca podbudowy tylko wtedy, gdy zaniżenie nośności podbudowy wynikło z niewłaściwego wykonania robót przez Wykonawcę podbudowy.</w:t>
      </w:r>
    </w:p>
    <w:p w:rsidR="00486DE4" w:rsidRDefault="00486DE4" w:rsidP="00486DE4">
      <w:pPr>
        <w:pStyle w:val="Standardowytekst"/>
        <w:numPr>
          <w:ilvl w:val="12"/>
          <w:numId w:val="0"/>
        </w:numPr>
        <w:ind w:left="540"/>
        <w:rPr>
          <w:sz w:val="24"/>
        </w:rPr>
      </w:pPr>
    </w:p>
    <w:p w:rsidR="00486DE4" w:rsidRPr="00B029BA" w:rsidRDefault="00486DE4" w:rsidP="00486DE4">
      <w:pPr>
        <w:pStyle w:val="Nagwek1"/>
        <w:numPr>
          <w:ilvl w:val="0"/>
          <w:numId w:val="2"/>
        </w:numPr>
        <w:tabs>
          <w:tab w:val="num" w:pos="540"/>
        </w:tabs>
        <w:rPr>
          <w:rFonts w:asciiTheme="minorHAnsi" w:hAnsiTheme="minorHAnsi" w:cstheme="minorHAnsi"/>
        </w:rPr>
      </w:pPr>
      <w:bookmarkStart w:id="56" w:name="_Toc418394443"/>
      <w:bookmarkStart w:id="57" w:name="_Toc423845944"/>
      <w:r w:rsidRPr="00B029BA">
        <w:rPr>
          <w:rFonts w:asciiTheme="minorHAnsi" w:hAnsiTheme="minorHAnsi" w:cstheme="minorHAnsi"/>
        </w:rPr>
        <w:t>Obmiar robót</w:t>
      </w:r>
      <w:bookmarkEnd w:id="56"/>
      <w:bookmarkEnd w:id="57"/>
    </w:p>
    <w:p w:rsidR="00486DE4" w:rsidRDefault="00486DE4" w:rsidP="00486DE4"/>
    <w:p w:rsidR="00486DE4" w:rsidRPr="000B22F9" w:rsidRDefault="00486DE4" w:rsidP="00486DE4">
      <w:pPr>
        <w:pStyle w:val="Standardowytekst"/>
        <w:numPr>
          <w:ilvl w:val="12"/>
          <w:numId w:val="0"/>
        </w:numPr>
        <w:ind w:left="810" w:hanging="270"/>
        <w:rPr>
          <w:rFonts w:asciiTheme="minorHAnsi" w:hAnsiTheme="minorHAnsi" w:cstheme="minorHAnsi"/>
          <w:sz w:val="24"/>
        </w:rPr>
      </w:pPr>
      <w:r w:rsidRPr="000B22F9">
        <w:rPr>
          <w:rFonts w:asciiTheme="minorHAnsi" w:hAnsiTheme="minorHAnsi" w:cstheme="minorHAnsi"/>
          <w:sz w:val="24"/>
        </w:rPr>
        <w:t>Ogólne zasady obmiaru robót podano w ST D-M 00.00.00 „Wymagania ogólne”.</w:t>
      </w:r>
    </w:p>
    <w:p w:rsidR="00486DE4" w:rsidRPr="000B22F9" w:rsidRDefault="00486DE4" w:rsidP="00486DE4">
      <w:pPr>
        <w:pStyle w:val="Standardowytekst"/>
        <w:numPr>
          <w:ilvl w:val="12"/>
          <w:numId w:val="0"/>
        </w:numPr>
        <w:ind w:left="810" w:hanging="270"/>
        <w:rPr>
          <w:rFonts w:asciiTheme="minorHAnsi" w:hAnsiTheme="minorHAnsi" w:cstheme="minorHAnsi"/>
          <w:sz w:val="24"/>
        </w:rPr>
      </w:pPr>
    </w:p>
    <w:p w:rsidR="00486DE4" w:rsidRPr="000B22F9" w:rsidRDefault="00486DE4" w:rsidP="00486DE4">
      <w:pPr>
        <w:pStyle w:val="Standardowytekst"/>
        <w:numPr>
          <w:ilvl w:val="12"/>
          <w:numId w:val="0"/>
        </w:numPr>
        <w:ind w:left="540"/>
        <w:rPr>
          <w:rFonts w:asciiTheme="minorHAnsi" w:hAnsiTheme="minorHAnsi" w:cstheme="minorHAnsi"/>
          <w:sz w:val="24"/>
        </w:rPr>
      </w:pPr>
      <w:r w:rsidRPr="000B22F9">
        <w:rPr>
          <w:rFonts w:asciiTheme="minorHAnsi" w:hAnsiTheme="minorHAnsi" w:cstheme="minorHAnsi"/>
          <w:sz w:val="24"/>
        </w:rPr>
        <w:t>Jednostką obmiaru robót jest m</w:t>
      </w:r>
      <w:r w:rsidRPr="000B22F9">
        <w:rPr>
          <w:rFonts w:asciiTheme="minorHAnsi" w:hAnsiTheme="minorHAnsi" w:cstheme="minorHAnsi"/>
          <w:sz w:val="24"/>
          <w:vertAlign w:val="superscript"/>
        </w:rPr>
        <w:t>2</w:t>
      </w:r>
      <w:r w:rsidRPr="000B22F9">
        <w:rPr>
          <w:rFonts w:asciiTheme="minorHAnsi" w:hAnsiTheme="minorHAnsi" w:cstheme="minorHAnsi"/>
          <w:sz w:val="24"/>
        </w:rPr>
        <w:t xml:space="preserve"> (metr kwadratowy) podbudowy z kruszywa łamanego stabilizowanego mechanicznie.</w:t>
      </w:r>
    </w:p>
    <w:p w:rsidR="00486DE4" w:rsidRPr="000B22F9" w:rsidRDefault="00486DE4" w:rsidP="00486DE4">
      <w:pPr>
        <w:pStyle w:val="Standardowytekst"/>
        <w:numPr>
          <w:ilvl w:val="12"/>
          <w:numId w:val="0"/>
        </w:numPr>
        <w:ind w:left="810"/>
        <w:rPr>
          <w:rFonts w:asciiTheme="minorHAnsi" w:hAnsiTheme="minorHAnsi" w:cstheme="minorHAnsi"/>
          <w:sz w:val="24"/>
        </w:rPr>
      </w:pPr>
    </w:p>
    <w:p w:rsidR="00486DE4" w:rsidRPr="000B22F9" w:rsidRDefault="00486DE4" w:rsidP="00486DE4">
      <w:pPr>
        <w:pStyle w:val="Nagwek1"/>
        <w:numPr>
          <w:ilvl w:val="0"/>
          <w:numId w:val="2"/>
        </w:numPr>
        <w:tabs>
          <w:tab w:val="num" w:pos="540"/>
        </w:tabs>
        <w:rPr>
          <w:rFonts w:asciiTheme="minorHAnsi" w:hAnsiTheme="minorHAnsi" w:cstheme="minorHAnsi"/>
        </w:rPr>
      </w:pPr>
      <w:bookmarkStart w:id="58" w:name="_Toc418394444"/>
      <w:bookmarkStart w:id="59" w:name="_Toc423845945"/>
      <w:r w:rsidRPr="000B22F9">
        <w:rPr>
          <w:rFonts w:asciiTheme="minorHAnsi" w:hAnsiTheme="minorHAnsi" w:cstheme="minorHAnsi"/>
        </w:rPr>
        <w:lastRenderedPageBreak/>
        <w:t>Odbiór robót</w:t>
      </w:r>
      <w:bookmarkEnd w:id="58"/>
      <w:bookmarkEnd w:id="59"/>
    </w:p>
    <w:p w:rsidR="00486DE4" w:rsidRPr="000B22F9" w:rsidRDefault="00486DE4" w:rsidP="00486DE4">
      <w:pPr>
        <w:rPr>
          <w:rFonts w:asciiTheme="minorHAnsi" w:hAnsiTheme="minorHAnsi" w:cstheme="minorHAnsi"/>
        </w:rPr>
      </w:pPr>
    </w:p>
    <w:p w:rsidR="00486DE4" w:rsidRPr="000B22F9" w:rsidRDefault="00486DE4" w:rsidP="00486DE4">
      <w:pPr>
        <w:pStyle w:val="Standardowytekst"/>
        <w:numPr>
          <w:ilvl w:val="12"/>
          <w:numId w:val="0"/>
        </w:numPr>
        <w:ind w:left="540"/>
        <w:rPr>
          <w:rFonts w:asciiTheme="minorHAnsi" w:hAnsiTheme="minorHAnsi" w:cstheme="minorHAnsi"/>
          <w:sz w:val="24"/>
        </w:rPr>
      </w:pPr>
      <w:r w:rsidRPr="000B22F9">
        <w:rPr>
          <w:rFonts w:asciiTheme="minorHAnsi" w:hAnsiTheme="minorHAnsi" w:cstheme="minorHAnsi"/>
          <w:sz w:val="24"/>
        </w:rPr>
        <w:t>Ogólne zasady odbioru robót podano w ST D-M 00.00.00 „Wymagania ogólne” punkt 8.</w:t>
      </w:r>
    </w:p>
    <w:p w:rsidR="00486DE4" w:rsidRPr="000B22F9" w:rsidRDefault="00486DE4" w:rsidP="00486DE4">
      <w:pPr>
        <w:pStyle w:val="Standardowytekst"/>
        <w:numPr>
          <w:ilvl w:val="12"/>
          <w:numId w:val="0"/>
        </w:numPr>
        <w:ind w:left="540"/>
        <w:rPr>
          <w:rFonts w:asciiTheme="minorHAnsi" w:hAnsiTheme="minorHAnsi" w:cstheme="minorHAnsi"/>
          <w:sz w:val="24"/>
        </w:rPr>
      </w:pPr>
      <w:r w:rsidRPr="000B22F9">
        <w:rPr>
          <w:rFonts w:asciiTheme="minorHAnsi" w:hAnsiTheme="minorHAnsi" w:cstheme="minorHAnsi"/>
          <w:sz w:val="24"/>
        </w:rPr>
        <w:t>Roboty uznaje się za zgodne z Rysunkami, ST i wymaganiami Inżyniera, jeżeli wszystkie pomiary i badania z zachowaniem tolerancji wg punktu 6 dały wyniki pozytywne.</w:t>
      </w:r>
    </w:p>
    <w:p w:rsidR="00486DE4" w:rsidRPr="000B22F9" w:rsidRDefault="00486DE4" w:rsidP="00486DE4">
      <w:pPr>
        <w:pStyle w:val="Standardowytekst"/>
        <w:numPr>
          <w:ilvl w:val="12"/>
          <w:numId w:val="0"/>
        </w:numPr>
        <w:ind w:left="540"/>
        <w:rPr>
          <w:rFonts w:asciiTheme="minorHAnsi" w:hAnsiTheme="minorHAnsi" w:cstheme="minorHAnsi"/>
          <w:sz w:val="24"/>
        </w:rPr>
      </w:pPr>
    </w:p>
    <w:p w:rsidR="00486DE4" w:rsidRPr="000B22F9" w:rsidRDefault="00486DE4" w:rsidP="00486DE4">
      <w:pPr>
        <w:pStyle w:val="Standardowytekst"/>
        <w:numPr>
          <w:ilvl w:val="12"/>
          <w:numId w:val="0"/>
        </w:numPr>
        <w:ind w:left="540"/>
        <w:rPr>
          <w:rFonts w:asciiTheme="minorHAnsi" w:hAnsiTheme="minorHAnsi" w:cstheme="minorHAnsi"/>
          <w:sz w:val="24"/>
        </w:rPr>
      </w:pPr>
    </w:p>
    <w:p w:rsidR="00486DE4" w:rsidRPr="000B22F9" w:rsidRDefault="00486DE4" w:rsidP="00486DE4">
      <w:pPr>
        <w:pStyle w:val="Nagwek1"/>
        <w:numPr>
          <w:ilvl w:val="0"/>
          <w:numId w:val="2"/>
        </w:numPr>
        <w:tabs>
          <w:tab w:val="num" w:pos="540"/>
        </w:tabs>
        <w:rPr>
          <w:rFonts w:asciiTheme="minorHAnsi" w:hAnsiTheme="minorHAnsi" w:cstheme="minorHAnsi"/>
        </w:rPr>
      </w:pPr>
      <w:bookmarkStart w:id="60" w:name="_Toc418394445"/>
      <w:bookmarkStart w:id="61" w:name="_Toc423845946"/>
      <w:r w:rsidRPr="000B22F9">
        <w:rPr>
          <w:rFonts w:asciiTheme="minorHAnsi" w:hAnsiTheme="minorHAnsi" w:cstheme="minorHAnsi"/>
        </w:rPr>
        <w:t>Podstawa płatności</w:t>
      </w:r>
      <w:bookmarkEnd w:id="60"/>
      <w:bookmarkEnd w:id="61"/>
    </w:p>
    <w:p w:rsidR="00486DE4" w:rsidRPr="000B22F9" w:rsidRDefault="00486DE4" w:rsidP="00486DE4">
      <w:pPr>
        <w:rPr>
          <w:rFonts w:asciiTheme="minorHAnsi" w:hAnsiTheme="minorHAnsi" w:cstheme="minorHAnsi"/>
        </w:rPr>
      </w:pPr>
    </w:p>
    <w:p w:rsidR="00486DE4" w:rsidRPr="000B22F9" w:rsidRDefault="00486DE4" w:rsidP="00486DE4">
      <w:pPr>
        <w:pStyle w:val="Standardowytekst"/>
        <w:numPr>
          <w:ilvl w:val="12"/>
          <w:numId w:val="0"/>
        </w:numPr>
        <w:ind w:left="540"/>
        <w:rPr>
          <w:rFonts w:asciiTheme="minorHAnsi" w:hAnsiTheme="minorHAnsi" w:cstheme="minorHAnsi"/>
          <w:sz w:val="24"/>
        </w:rPr>
      </w:pPr>
      <w:r w:rsidRPr="000B22F9">
        <w:rPr>
          <w:rFonts w:asciiTheme="minorHAnsi" w:hAnsiTheme="minorHAnsi" w:cstheme="minorHAnsi"/>
          <w:sz w:val="24"/>
        </w:rPr>
        <w:t>Ogólne ustalenia dotyczące podstawy płatności podano w ST D-M 00.00.00 „Wymagania ogólne” punkt 9.</w:t>
      </w:r>
    </w:p>
    <w:p w:rsidR="00486DE4" w:rsidRPr="000B22F9" w:rsidRDefault="00486DE4" w:rsidP="00486DE4">
      <w:pPr>
        <w:pStyle w:val="Standardowytekst"/>
        <w:numPr>
          <w:ilvl w:val="12"/>
          <w:numId w:val="0"/>
        </w:numPr>
        <w:ind w:left="810"/>
        <w:rPr>
          <w:rFonts w:asciiTheme="minorHAnsi" w:hAnsiTheme="minorHAnsi" w:cstheme="minorHAnsi"/>
          <w:sz w:val="24"/>
        </w:rPr>
      </w:pPr>
    </w:p>
    <w:p w:rsidR="00486DE4" w:rsidRPr="000B22F9" w:rsidRDefault="00486DE4" w:rsidP="00486DE4">
      <w:pPr>
        <w:pStyle w:val="Standardowytekst"/>
        <w:numPr>
          <w:ilvl w:val="12"/>
          <w:numId w:val="0"/>
        </w:numPr>
        <w:ind w:left="810" w:hanging="270"/>
        <w:rPr>
          <w:rFonts w:asciiTheme="minorHAnsi" w:hAnsiTheme="minorHAnsi" w:cstheme="minorHAnsi"/>
          <w:sz w:val="24"/>
        </w:rPr>
      </w:pPr>
      <w:r w:rsidRPr="000B22F9">
        <w:rPr>
          <w:rFonts w:asciiTheme="minorHAnsi" w:hAnsiTheme="minorHAnsi" w:cstheme="minorHAnsi"/>
          <w:sz w:val="24"/>
        </w:rPr>
        <w:t>Cena jednostkowa wykonania robót obejmuje:</w:t>
      </w:r>
    </w:p>
    <w:p w:rsidR="00486DE4" w:rsidRPr="000B22F9" w:rsidRDefault="00486DE4" w:rsidP="00486DE4">
      <w:pPr>
        <w:pStyle w:val="Standardowytekst"/>
        <w:numPr>
          <w:ilvl w:val="12"/>
          <w:numId w:val="0"/>
        </w:numPr>
        <w:ind w:left="810" w:hanging="270"/>
        <w:rPr>
          <w:rFonts w:asciiTheme="minorHAnsi" w:hAnsiTheme="minorHAnsi" w:cstheme="minorHAnsi"/>
          <w:sz w:val="24"/>
        </w:rPr>
      </w:pP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prace pomiarowe i roboty przygotowawcze,</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oznakowanie robót,</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sprawdzenie i ewentualną naprawę podłoża,</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pozyskanie i transport materiałów,</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przygotowanie mieszanki z kruszywa, zgodnie z receptą,</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dostarczenie mieszanki na miejsce wbudowania,</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wykonanie odcinka próbnego,</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rozłożenie mieszanki,</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zagęszczenie rozłożonej mieszanki,</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przeprowadzenie pomiarów i badań laboratoryjnych określonych w specyfikacji technicznej,</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utrzymanie podbudowy w czasie robót,</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uporządkowanie miejsc prowadzonych robót,</w:t>
      </w:r>
    </w:p>
    <w:p w:rsidR="00486DE4" w:rsidRPr="000B22F9" w:rsidRDefault="00486DE4" w:rsidP="00486DE4">
      <w:pPr>
        <w:numPr>
          <w:ilvl w:val="0"/>
          <w:numId w:val="5"/>
        </w:numPr>
        <w:spacing w:line="240" w:lineRule="auto"/>
        <w:jc w:val="left"/>
        <w:rPr>
          <w:rFonts w:asciiTheme="minorHAnsi" w:hAnsiTheme="minorHAnsi" w:cstheme="minorHAnsi"/>
        </w:rPr>
      </w:pPr>
      <w:r w:rsidRPr="000B22F9">
        <w:rPr>
          <w:rFonts w:asciiTheme="minorHAnsi" w:hAnsiTheme="minorHAnsi" w:cstheme="minorHAnsi"/>
        </w:rPr>
        <w:t>pomiar inwentaryzacji geodezyjnej.</w:t>
      </w:r>
    </w:p>
    <w:p w:rsidR="00486DE4" w:rsidRDefault="00486DE4" w:rsidP="00486DE4">
      <w:pPr>
        <w:ind w:left="810"/>
      </w:pPr>
    </w:p>
    <w:p w:rsidR="00486DE4" w:rsidRPr="000B22F9" w:rsidRDefault="00486DE4" w:rsidP="00486DE4">
      <w:pPr>
        <w:pStyle w:val="Nagwek1"/>
        <w:numPr>
          <w:ilvl w:val="0"/>
          <w:numId w:val="2"/>
        </w:numPr>
        <w:tabs>
          <w:tab w:val="num" w:pos="540"/>
        </w:tabs>
        <w:rPr>
          <w:rFonts w:asciiTheme="minorHAnsi" w:hAnsiTheme="minorHAnsi" w:cstheme="minorHAnsi"/>
          <w:sz w:val="24"/>
          <w:szCs w:val="24"/>
        </w:rPr>
      </w:pPr>
      <w:r w:rsidRPr="000B22F9">
        <w:rPr>
          <w:rFonts w:asciiTheme="minorHAnsi" w:hAnsiTheme="minorHAnsi" w:cstheme="minorHAnsi"/>
          <w:sz w:val="24"/>
          <w:szCs w:val="24"/>
        </w:rPr>
        <w:t>Przepisy związane</w:t>
      </w:r>
    </w:p>
    <w:p w:rsidR="00486DE4" w:rsidRPr="000B22F9" w:rsidRDefault="00486DE4" w:rsidP="00486DE4">
      <w:pPr>
        <w:rPr>
          <w:rFonts w:asciiTheme="minorHAnsi" w:hAnsiTheme="minorHAnsi" w:cstheme="minorHAnsi"/>
        </w:rPr>
      </w:pPr>
    </w:p>
    <w:tbl>
      <w:tblPr>
        <w:tblW w:w="10171" w:type="dxa"/>
        <w:tblLayout w:type="fixed"/>
        <w:tblCellMar>
          <w:left w:w="70" w:type="dxa"/>
          <w:right w:w="70" w:type="dxa"/>
        </w:tblCellMar>
        <w:tblLook w:val="0000"/>
      </w:tblPr>
      <w:tblGrid>
        <w:gridCol w:w="2622"/>
        <w:gridCol w:w="7549"/>
      </w:tblGrid>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PN-B-04481</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Grunty budowlane. Badania próbek gruntu</w:t>
            </w: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p>
        </w:tc>
        <w:tc>
          <w:tcPr>
            <w:tcW w:w="7549" w:type="dxa"/>
          </w:tcPr>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PN-B-06714-12</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 xml:space="preserve">Kruszywa mineralne. Badania. Oznaczanie zawartości zanieczyszczeń </w:t>
            </w:r>
            <w:r>
              <w:rPr>
                <w:rFonts w:asciiTheme="minorHAnsi" w:hAnsiTheme="minorHAnsi" w:cstheme="minorHAnsi"/>
              </w:rPr>
              <w:t xml:space="preserve">  </w:t>
            </w:r>
            <w:r w:rsidRPr="000B22F9">
              <w:rPr>
                <w:rFonts w:asciiTheme="minorHAnsi" w:hAnsiTheme="minorHAnsi" w:cstheme="minorHAnsi"/>
              </w:rPr>
              <w:t>obcych</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PN-B-06714-15</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Kruszywa mineralne. Badania. Oznaczanie składu ziarnowego</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PN-B-06714-16</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 xml:space="preserve">Kruszywa mineralne. Badania. Oznaczanie kształtu </w:t>
            </w:r>
            <w:proofErr w:type="spellStart"/>
            <w:r w:rsidRPr="000B22F9">
              <w:rPr>
                <w:rFonts w:asciiTheme="minorHAnsi" w:hAnsiTheme="minorHAnsi" w:cstheme="minorHAnsi"/>
              </w:rPr>
              <w:t>ziarn</w:t>
            </w:r>
            <w:proofErr w:type="spellEnd"/>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PN-B-06714-18</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Kruszywa mineralne. Badania. Oznaczanie nasiąkliwości</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PN-B-06714-19</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Kruszywa mineralne. Badania. Oznaczanie mrozoodporności metodą bezpośrednią</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lastRenderedPageBreak/>
              <w:t>PN-B-06714-26</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Kruszywa mineralne. Badania. Oznaczanie zawartości zanieczyszczeń organicznych</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PN-B-06714-37</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Kruszywa mineralne. Badania. Oznaczanie rozpadu krzemianowego</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PN-B-06714-39</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Kruszywa mineralne. Badania. Oznaczanie rozpadu żelazawego</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PN-B-06714-42</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Kruszywa mineralne. Badania. Oznaczanie ścieralności w bębnie Los Angeles</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PN-B-06731</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Żużel wielkopiecowy kawałkowy. Kruszywo budowlane i drogowe. Badania techniczne</w:t>
            </w:r>
          </w:p>
          <w:p w:rsidR="00486DE4" w:rsidRPr="000B22F9" w:rsidRDefault="00486DE4" w:rsidP="005A2054">
            <w:pPr>
              <w:spacing w:line="240" w:lineRule="auto"/>
              <w:rPr>
                <w:rFonts w:asciiTheme="minorHAnsi" w:hAnsiTheme="minorHAnsi" w:cstheme="minorHAnsi"/>
              </w:rPr>
            </w:pPr>
          </w:p>
        </w:tc>
      </w:tr>
      <w:tr w:rsidR="00486DE4" w:rsidRPr="000B22F9" w:rsidTr="005A2054">
        <w:trPr>
          <w:cantSplit/>
        </w:trPr>
        <w:tc>
          <w:tcPr>
            <w:tcW w:w="10171" w:type="dxa"/>
            <w:gridSpan w:val="2"/>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PN-B-11112:1996/A1:2001 Kruszywa łamane do nawierzchni drogowych (Zmiana Az1).</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PN-S-06102</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Drogi samochodowe. Podbudowy z kruszyw stabilizowanych mechanicznie</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BN-64/8931-01</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Drogi samochodowe. Oznaczanie wskaźnika piaskowego</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BN-68/8931-04</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 xml:space="preserve">Drogi samochodowe. Pomiar równości nawierzchni </w:t>
            </w:r>
            <w:proofErr w:type="spellStart"/>
            <w:r w:rsidRPr="000B22F9">
              <w:rPr>
                <w:rFonts w:asciiTheme="minorHAnsi" w:hAnsiTheme="minorHAnsi" w:cstheme="minorHAnsi"/>
              </w:rPr>
              <w:t>planografem</w:t>
            </w:r>
            <w:proofErr w:type="spellEnd"/>
            <w:r w:rsidRPr="000B22F9">
              <w:rPr>
                <w:rFonts w:asciiTheme="minorHAnsi" w:hAnsiTheme="minorHAnsi" w:cstheme="minorHAnsi"/>
              </w:rPr>
              <w:t xml:space="preserve"> i łatą</w:t>
            </w:r>
          </w:p>
          <w:p w:rsidR="00486DE4" w:rsidRPr="000B22F9" w:rsidRDefault="00486DE4" w:rsidP="005A2054">
            <w:pPr>
              <w:spacing w:line="240" w:lineRule="auto"/>
              <w:rPr>
                <w:rFonts w:asciiTheme="minorHAnsi" w:hAnsiTheme="minorHAnsi" w:cstheme="minorHAnsi"/>
              </w:rPr>
            </w:pPr>
          </w:p>
        </w:tc>
      </w:tr>
      <w:tr w:rsidR="00486DE4" w:rsidRPr="000B22F9" w:rsidTr="005A2054">
        <w:tc>
          <w:tcPr>
            <w:tcW w:w="2622"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BN-70/8931-06</w:t>
            </w:r>
          </w:p>
        </w:tc>
        <w:tc>
          <w:tcPr>
            <w:tcW w:w="7549" w:type="dxa"/>
          </w:tcPr>
          <w:p w:rsidR="00486DE4" w:rsidRPr="000B22F9" w:rsidRDefault="00486DE4" w:rsidP="005A2054">
            <w:pPr>
              <w:spacing w:line="240" w:lineRule="auto"/>
              <w:rPr>
                <w:rFonts w:asciiTheme="minorHAnsi" w:hAnsiTheme="minorHAnsi" w:cstheme="minorHAnsi"/>
              </w:rPr>
            </w:pPr>
            <w:r w:rsidRPr="000B22F9">
              <w:rPr>
                <w:rFonts w:asciiTheme="minorHAnsi" w:hAnsiTheme="minorHAnsi" w:cstheme="minorHAnsi"/>
              </w:rPr>
              <w:t xml:space="preserve">Drogi samochodowe. Pomiar ugięć podatnych </w:t>
            </w:r>
            <w:proofErr w:type="spellStart"/>
            <w:r w:rsidRPr="000B22F9">
              <w:rPr>
                <w:rFonts w:asciiTheme="minorHAnsi" w:hAnsiTheme="minorHAnsi" w:cstheme="minorHAnsi"/>
              </w:rPr>
              <w:t>ugięciomierzem</w:t>
            </w:r>
            <w:proofErr w:type="spellEnd"/>
            <w:r w:rsidRPr="000B22F9">
              <w:rPr>
                <w:rFonts w:asciiTheme="minorHAnsi" w:hAnsiTheme="minorHAnsi" w:cstheme="minorHAnsi"/>
              </w:rPr>
              <w:t xml:space="preserve"> belkowym</w:t>
            </w:r>
          </w:p>
          <w:p w:rsidR="00486DE4" w:rsidRPr="000B22F9" w:rsidRDefault="00486DE4" w:rsidP="005A2054">
            <w:pPr>
              <w:spacing w:line="240" w:lineRule="auto"/>
              <w:rPr>
                <w:rFonts w:asciiTheme="minorHAnsi" w:hAnsiTheme="minorHAnsi" w:cstheme="minorHAnsi"/>
              </w:rPr>
            </w:pPr>
          </w:p>
        </w:tc>
      </w:tr>
    </w:tbl>
    <w:p w:rsidR="00486DE4" w:rsidRPr="000B22F9" w:rsidRDefault="00486DE4" w:rsidP="00486DE4">
      <w:pPr>
        <w:spacing w:line="240" w:lineRule="auto"/>
        <w:rPr>
          <w:rFonts w:asciiTheme="minorHAnsi" w:hAnsiTheme="minorHAnsi" w:cstheme="minorHAnsi"/>
        </w:rPr>
      </w:pPr>
      <w:r w:rsidRPr="000B22F9">
        <w:rPr>
          <w:rFonts w:asciiTheme="minorHAnsi" w:hAnsiTheme="minorHAnsi" w:cstheme="minorHAnsi"/>
        </w:rPr>
        <w:t xml:space="preserve">Katalog typowych konstrukcji nawierzchni podatnych i półsztywnych, </w:t>
      </w:r>
      <w:proofErr w:type="spellStart"/>
      <w:r w:rsidRPr="000B22F9">
        <w:rPr>
          <w:rFonts w:asciiTheme="minorHAnsi" w:hAnsiTheme="minorHAnsi" w:cstheme="minorHAnsi"/>
        </w:rPr>
        <w:t>IBDiM</w:t>
      </w:r>
      <w:proofErr w:type="spellEnd"/>
      <w:r w:rsidRPr="000B22F9">
        <w:rPr>
          <w:rFonts w:asciiTheme="minorHAnsi" w:hAnsiTheme="minorHAnsi" w:cstheme="minorHAnsi"/>
        </w:rPr>
        <w:t xml:space="preserve"> - Warszawa 1997.</w:t>
      </w:r>
    </w:p>
    <w:p w:rsidR="00DD307A" w:rsidRDefault="00DD307A"/>
    <w:sectPr w:rsidR="00DD307A" w:rsidSect="00C36F4C">
      <w:footerReference w:type="default" r:id="rId9"/>
      <w:pgSz w:w="11906" w:h="16838"/>
      <w:pgMar w:top="1417" w:right="1417" w:bottom="1417" w:left="1417" w:header="708" w:footer="708"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E3" w:rsidRDefault="006657E3" w:rsidP="00B958F0">
      <w:pPr>
        <w:spacing w:line="240" w:lineRule="auto"/>
      </w:pPr>
      <w:r>
        <w:separator/>
      </w:r>
    </w:p>
  </w:endnote>
  <w:endnote w:type="continuationSeparator" w:id="0">
    <w:p w:rsidR="006657E3" w:rsidRDefault="006657E3" w:rsidP="00B958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047976"/>
      <w:docPartObj>
        <w:docPartGallery w:val="Page Numbers (Bottom of Page)"/>
        <w:docPartUnique/>
      </w:docPartObj>
    </w:sdtPr>
    <w:sdtEndPr>
      <w:rPr>
        <w:rFonts w:ascii="Times New Roman" w:hAnsi="Times New Roman"/>
        <w:sz w:val="24"/>
        <w:szCs w:val="24"/>
      </w:rPr>
    </w:sdtEndPr>
    <w:sdtContent>
      <w:p w:rsidR="00B958F0" w:rsidRDefault="00B958F0">
        <w:pPr>
          <w:pStyle w:val="Stopka"/>
          <w:jc w:val="right"/>
          <w:rPr>
            <w:rFonts w:asciiTheme="majorHAnsi" w:hAnsiTheme="majorHAnsi"/>
            <w:sz w:val="28"/>
            <w:szCs w:val="28"/>
          </w:rPr>
        </w:pPr>
        <w:r w:rsidRPr="00B958F0">
          <w:rPr>
            <w:rFonts w:asciiTheme="minorHAnsi" w:hAnsiTheme="minorHAnsi" w:cstheme="minorHAnsi"/>
          </w:rPr>
          <w:t xml:space="preserve">str. </w:t>
        </w:r>
        <w:r w:rsidR="00C6555E" w:rsidRPr="00B958F0">
          <w:rPr>
            <w:rFonts w:asciiTheme="minorHAnsi" w:hAnsiTheme="minorHAnsi" w:cstheme="minorHAnsi"/>
          </w:rPr>
          <w:fldChar w:fldCharType="begin"/>
        </w:r>
        <w:r w:rsidRPr="00B958F0">
          <w:rPr>
            <w:rFonts w:asciiTheme="minorHAnsi" w:hAnsiTheme="minorHAnsi" w:cstheme="minorHAnsi"/>
          </w:rPr>
          <w:instrText xml:space="preserve"> PAGE    \* MERGEFORMAT </w:instrText>
        </w:r>
        <w:r w:rsidR="00C6555E" w:rsidRPr="00B958F0">
          <w:rPr>
            <w:rFonts w:asciiTheme="minorHAnsi" w:hAnsiTheme="minorHAnsi" w:cstheme="minorHAnsi"/>
          </w:rPr>
          <w:fldChar w:fldCharType="separate"/>
        </w:r>
        <w:r w:rsidR="00C36F4C">
          <w:rPr>
            <w:rFonts w:asciiTheme="minorHAnsi" w:hAnsiTheme="minorHAnsi" w:cstheme="minorHAnsi"/>
            <w:noProof/>
          </w:rPr>
          <w:t>107</w:t>
        </w:r>
        <w:r w:rsidR="00C6555E" w:rsidRPr="00B958F0">
          <w:rPr>
            <w:rFonts w:asciiTheme="minorHAnsi" w:hAnsiTheme="minorHAnsi" w:cstheme="minorHAnsi"/>
          </w:rPr>
          <w:fldChar w:fldCharType="end"/>
        </w:r>
      </w:p>
    </w:sdtContent>
  </w:sdt>
  <w:p w:rsidR="00B958F0" w:rsidRDefault="00B958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E3" w:rsidRDefault="006657E3" w:rsidP="00B958F0">
      <w:pPr>
        <w:spacing w:line="240" w:lineRule="auto"/>
      </w:pPr>
      <w:r>
        <w:separator/>
      </w:r>
    </w:p>
  </w:footnote>
  <w:footnote w:type="continuationSeparator" w:id="0">
    <w:p w:rsidR="006657E3" w:rsidRDefault="006657E3" w:rsidP="00B958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408B3"/>
    <w:multiLevelType w:val="hybridMultilevel"/>
    <w:tmpl w:val="BF62C242"/>
    <w:lvl w:ilvl="0" w:tplc="FFFFFFFF">
      <w:start w:val="1"/>
      <w:numFmt w:val="bullet"/>
      <w:lvlText w:val=""/>
      <w:lvlJc w:val="left"/>
      <w:pPr>
        <w:tabs>
          <w:tab w:val="num" w:pos="1170"/>
        </w:tabs>
        <w:ind w:left="1170" w:hanging="360"/>
      </w:pPr>
      <w:rPr>
        <w:rFonts w:ascii="Symbol" w:hAnsi="Symbol"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1">
    <w:nsid w:val="352C1DEF"/>
    <w:multiLevelType w:val="singleLevel"/>
    <w:tmpl w:val="115E95C6"/>
    <w:lvl w:ilvl="0">
      <w:start w:val="5"/>
      <w:numFmt w:val="bullet"/>
      <w:lvlText w:val="-"/>
      <w:lvlJc w:val="left"/>
      <w:pPr>
        <w:tabs>
          <w:tab w:val="num" w:pos="1380"/>
        </w:tabs>
        <w:ind w:left="1380" w:hanging="360"/>
      </w:pPr>
      <w:rPr>
        <w:rFonts w:hint="default"/>
      </w:rPr>
    </w:lvl>
  </w:abstractNum>
  <w:abstractNum w:abstractNumId="2">
    <w:nsid w:val="4AFC77BD"/>
    <w:multiLevelType w:val="multilevel"/>
    <w:tmpl w:val="99DAD736"/>
    <w:lvl w:ilvl="0">
      <w:start w:val="1"/>
      <w:numFmt w:val="decimal"/>
      <w:pStyle w:val="Nagwek1"/>
      <w:lvlText w:val="%1"/>
      <w:lvlJc w:val="left"/>
      <w:pPr>
        <w:tabs>
          <w:tab w:val="num" w:pos="432"/>
        </w:tabs>
        <w:ind w:left="432" w:hanging="432"/>
      </w:pPr>
      <w:rPr>
        <w:rFonts w:asciiTheme="minorHAnsi" w:hAnsiTheme="minorHAnsi" w:cstheme="minorHAnsi" w:hint="default"/>
        <w:b/>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nsid w:val="56345756"/>
    <w:multiLevelType w:val="hybridMultilevel"/>
    <w:tmpl w:val="11A41CC2"/>
    <w:lvl w:ilvl="0" w:tplc="C51685B6">
      <w:start w:val="1"/>
      <w:numFmt w:val="lowerLetter"/>
      <w:lvlText w:val="%1)"/>
      <w:lvlJc w:val="left"/>
      <w:pPr>
        <w:ind w:left="900" w:hanging="360"/>
      </w:pPr>
      <w:rPr>
        <w:rFonts w:asciiTheme="minorHAnsi" w:hAnsiTheme="minorHAnsi" w:cstheme="minorHAnsi"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nsid w:val="6FB4090A"/>
    <w:multiLevelType w:val="hybridMultilevel"/>
    <w:tmpl w:val="CF64DF92"/>
    <w:lvl w:ilvl="0" w:tplc="FFFFFFFF">
      <w:start w:val="1"/>
      <w:numFmt w:val="bullet"/>
      <w:lvlText w:val=""/>
      <w:lvlJc w:val="left"/>
      <w:pPr>
        <w:tabs>
          <w:tab w:val="num" w:pos="1170"/>
        </w:tabs>
        <w:ind w:left="1170" w:hanging="360"/>
      </w:pPr>
      <w:rPr>
        <w:rFonts w:ascii="Symbol" w:hAnsi="Symbol" w:hint="default"/>
      </w:rPr>
    </w:lvl>
    <w:lvl w:ilvl="1" w:tplc="FFFFFFFF">
      <w:start w:val="1"/>
      <w:numFmt w:val="decimal"/>
      <w:lvlText w:val="%2."/>
      <w:lvlJc w:val="left"/>
      <w:pPr>
        <w:tabs>
          <w:tab w:val="num" w:pos="1890"/>
        </w:tabs>
        <w:ind w:left="1890" w:hanging="360"/>
      </w:p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486DE4"/>
    <w:rsid w:val="00065F21"/>
    <w:rsid w:val="000C5BCA"/>
    <w:rsid w:val="0011161F"/>
    <w:rsid w:val="00144271"/>
    <w:rsid w:val="00292E2A"/>
    <w:rsid w:val="00486DE4"/>
    <w:rsid w:val="004B5F63"/>
    <w:rsid w:val="00540812"/>
    <w:rsid w:val="006169D8"/>
    <w:rsid w:val="00640B4D"/>
    <w:rsid w:val="006657E3"/>
    <w:rsid w:val="006D6CDC"/>
    <w:rsid w:val="006E66C5"/>
    <w:rsid w:val="008D4B53"/>
    <w:rsid w:val="009560EF"/>
    <w:rsid w:val="00991BF8"/>
    <w:rsid w:val="009E7DAC"/>
    <w:rsid w:val="00B53BA4"/>
    <w:rsid w:val="00B958F0"/>
    <w:rsid w:val="00C36F4C"/>
    <w:rsid w:val="00C446A9"/>
    <w:rsid w:val="00C6555E"/>
    <w:rsid w:val="00DD307A"/>
    <w:rsid w:val="00E74340"/>
    <w:rsid w:val="00FB57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xkx"/>
    <w:qFormat/>
    <w:rsid w:val="00486DE4"/>
    <w:pPr>
      <w:spacing w:after="0" w:line="360" w:lineRule="auto"/>
      <w:ind w:firstLine="709"/>
      <w:jc w:val="both"/>
    </w:pPr>
    <w:rPr>
      <w:rFonts w:ascii="Times New Roman" w:eastAsia="Times New Roman" w:hAnsi="Times New Roman" w:cs="Times New Roman"/>
      <w:sz w:val="24"/>
      <w:szCs w:val="24"/>
      <w:lang w:eastAsia="pl-PL"/>
    </w:rPr>
  </w:style>
  <w:style w:type="paragraph" w:styleId="Nagwek1">
    <w:name w:val="heading 1"/>
    <w:aliases w:val="N 1,Title 1"/>
    <w:basedOn w:val="Normalny"/>
    <w:next w:val="Normalny"/>
    <w:link w:val="Nagwek1Znak"/>
    <w:qFormat/>
    <w:rsid w:val="00486DE4"/>
    <w:pPr>
      <w:keepNext/>
      <w:numPr>
        <w:numId w:val="1"/>
      </w:numPr>
      <w:spacing w:line="240" w:lineRule="auto"/>
      <w:outlineLvl w:val="0"/>
    </w:pPr>
    <w:rPr>
      <w:b/>
      <w:sz w:val="26"/>
      <w:szCs w:val="20"/>
    </w:rPr>
  </w:style>
  <w:style w:type="paragraph" w:styleId="Nagwek2">
    <w:name w:val="heading 2"/>
    <w:basedOn w:val="Normalny"/>
    <w:next w:val="Normalny"/>
    <w:link w:val="Nagwek2Znak"/>
    <w:qFormat/>
    <w:rsid w:val="00486DE4"/>
    <w:pPr>
      <w:keepNext/>
      <w:numPr>
        <w:ilvl w:val="1"/>
        <w:numId w:val="1"/>
      </w:numPr>
      <w:jc w:val="left"/>
      <w:outlineLvl w:val="1"/>
    </w:pPr>
    <w:rPr>
      <w:sz w:val="26"/>
      <w:szCs w:val="20"/>
    </w:rPr>
  </w:style>
  <w:style w:type="paragraph" w:styleId="Nagwek3">
    <w:name w:val="heading 3"/>
    <w:basedOn w:val="Normalny"/>
    <w:next w:val="Normalny"/>
    <w:link w:val="Nagwek3Znak"/>
    <w:qFormat/>
    <w:rsid w:val="00486DE4"/>
    <w:pPr>
      <w:keepNext/>
      <w:numPr>
        <w:ilvl w:val="2"/>
        <w:numId w:val="1"/>
      </w:numPr>
      <w:tabs>
        <w:tab w:val="left" w:pos="1701"/>
        <w:tab w:val="left" w:pos="1985"/>
      </w:tabs>
      <w:spacing w:before="120" w:after="120" w:line="240" w:lineRule="auto"/>
      <w:ind w:right="-720"/>
      <w:outlineLvl w:val="2"/>
    </w:pPr>
    <w:rPr>
      <w:i/>
      <w:snapToGrid w:val="0"/>
      <w:sz w:val="26"/>
      <w:szCs w:val="20"/>
    </w:rPr>
  </w:style>
  <w:style w:type="paragraph" w:styleId="Nagwek4">
    <w:name w:val="heading 4"/>
    <w:basedOn w:val="Normalny"/>
    <w:next w:val="Normalny"/>
    <w:link w:val="Nagwek4Znak"/>
    <w:qFormat/>
    <w:rsid w:val="00486DE4"/>
    <w:pPr>
      <w:keepNext/>
      <w:numPr>
        <w:ilvl w:val="3"/>
        <w:numId w:val="1"/>
      </w:numPr>
      <w:spacing w:line="240" w:lineRule="auto"/>
      <w:ind w:right="-720"/>
      <w:outlineLvl w:val="3"/>
    </w:pPr>
    <w:rPr>
      <w:b/>
      <w:sz w:val="26"/>
      <w:szCs w:val="20"/>
    </w:rPr>
  </w:style>
  <w:style w:type="paragraph" w:styleId="Nagwek7">
    <w:name w:val="heading 7"/>
    <w:basedOn w:val="Normalny"/>
    <w:next w:val="Normalny"/>
    <w:link w:val="Nagwek7Znak"/>
    <w:qFormat/>
    <w:rsid w:val="00486DE4"/>
    <w:pPr>
      <w:keepNext/>
      <w:numPr>
        <w:ilvl w:val="6"/>
        <w:numId w:val="1"/>
      </w:numPr>
      <w:suppressAutoHyphens/>
      <w:spacing w:line="240" w:lineRule="auto"/>
      <w:ind w:right="-720"/>
      <w:jc w:val="left"/>
      <w:outlineLvl w:val="6"/>
    </w:pPr>
    <w:rPr>
      <w:b/>
      <w:sz w:val="21"/>
      <w:szCs w:val="20"/>
    </w:rPr>
  </w:style>
  <w:style w:type="paragraph" w:styleId="Nagwek8">
    <w:name w:val="heading 8"/>
    <w:basedOn w:val="Normalny"/>
    <w:next w:val="Normalny"/>
    <w:link w:val="Nagwek8Znak"/>
    <w:qFormat/>
    <w:rsid w:val="00486DE4"/>
    <w:pPr>
      <w:keepNext/>
      <w:numPr>
        <w:ilvl w:val="7"/>
        <w:numId w:val="1"/>
      </w:numPr>
      <w:suppressAutoHyphens/>
      <w:spacing w:line="240" w:lineRule="auto"/>
      <w:ind w:right="44"/>
      <w:outlineLvl w:val="7"/>
    </w:pPr>
    <w:rPr>
      <w:b/>
      <w:sz w:val="21"/>
      <w:szCs w:val="20"/>
      <w:u w:val="single"/>
    </w:rPr>
  </w:style>
  <w:style w:type="paragraph" w:styleId="Nagwek9">
    <w:name w:val="heading 9"/>
    <w:basedOn w:val="Normalny"/>
    <w:next w:val="Normalny"/>
    <w:link w:val="Nagwek9Znak"/>
    <w:qFormat/>
    <w:rsid w:val="00486DE4"/>
    <w:pPr>
      <w:keepNext/>
      <w:numPr>
        <w:ilvl w:val="8"/>
        <w:numId w:val="1"/>
      </w:numPr>
      <w:spacing w:line="240" w:lineRule="auto"/>
      <w:jc w:val="cente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 1 Znak,Title 1 Znak"/>
    <w:basedOn w:val="Domylnaczcionkaakapitu"/>
    <w:link w:val="Nagwek1"/>
    <w:rsid w:val="00486DE4"/>
    <w:rPr>
      <w:rFonts w:ascii="Times New Roman" w:eastAsia="Times New Roman" w:hAnsi="Times New Roman" w:cs="Times New Roman"/>
      <w:b/>
      <w:sz w:val="26"/>
      <w:szCs w:val="20"/>
      <w:lang w:eastAsia="pl-PL"/>
    </w:rPr>
  </w:style>
  <w:style w:type="character" w:customStyle="1" w:styleId="Nagwek2Znak">
    <w:name w:val="Nagłówek 2 Znak"/>
    <w:basedOn w:val="Domylnaczcionkaakapitu"/>
    <w:link w:val="Nagwek2"/>
    <w:rsid w:val="00486DE4"/>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486DE4"/>
    <w:rPr>
      <w:rFonts w:ascii="Times New Roman" w:eastAsia="Times New Roman" w:hAnsi="Times New Roman" w:cs="Times New Roman"/>
      <w:i/>
      <w:snapToGrid w:val="0"/>
      <w:sz w:val="26"/>
      <w:szCs w:val="20"/>
      <w:lang w:eastAsia="pl-PL"/>
    </w:rPr>
  </w:style>
  <w:style w:type="character" w:customStyle="1" w:styleId="Nagwek4Znak">
    <w:name w:val="Nagłówek 4 Znak"/>
    <w:basedOn w:val="Domylnaczcionkaakapitu"/>
    <w:link w:val="Nagwek4"/>
    <w:rsid w:val="00486DE4"/>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486DE4"/>
    <w:rPr>
      <w:rFonts w:ascii="Times New Roman" w:eastAsia="Times New Roman" w:hAnsi="Times New Roman" w:cs="Times New Roman"/>
      <w:b/>
      <w:sz w:val="21"/>
      <w:szCs w:val="20"/>
      <w:lang w:eastAsia="pl-PL"/>
    </w:rPr>
  </w:style>
  <w:style w:type="character" w:customStyle="1" w:styleId="Nagwek8Znak">
    <w:name w:val="Nagłówek 8 Znak"/>
    <w:basedOn w:val="Domylnaczcionkaakapitu"/>
    <w:link w:val="Nagwek8"/>
    <w:rsid w:val="00486DE4"/>
    <w:rPr>
      <w:rFonts w:ascii="Times New Roman" w:eastAsia="Times New Roman" w:hAnsi="Times New Roman" w:cs="Times New Roman"/>
      <w:b/>
      <w:sz w:val="21"/>
      <w:szCs w:val="20"/>
      <w:u w:val="single"/>
      <w:lang w:eastAsia="pl-PL"/>
    </w:rPr>
  </w:style>
  <w:style w:type="character" w:customStyle="1" w:styleId="Nagwek9Znak">
    <w:name w:val="Nagłówek 9 Znak"/>
    <w:basedOn w:val="Domylnaczcionkaakapitu"/>
    <w:link w:val="Nagwek9"/>
    <w:rsid w:val="00486DE4"/>
    <w:rPr>
      <w:rFonts w:ascii="Times New Roman" w:eastAsia="Times New Roman" w:hAnsi="Times New Roman" w:cs="Times New Roman"/>
      <w:b/>
      <w:sz w:val="28"/>
      <w:szCs w:val="20"/>
      <w:lang w:eastAsia="pl-PL"/>
    </w:rPr>
  </w:style>
  <w:style w:type="paragraph" w:styleId="Nagwek">
    <w:name w:val="header"/>
    <w:basedOn w:val="Normalny"/>
    <w:link w:val="NagwekZnak"/>
    <w:rsid w:val="00486DE4"/>
    <w:pPr>
      <w:tabs>
        <w:tab w:val="center" w:pos="4536"/>
        <w:tab w:val="right" w:pos="9072"/>
      </w:tabs>
      <w:spacing w:line="240" w:lineRule="auto"/>
      <w:ind w:firstLine="0"/>
    </w:pPr>
    <w:rPr>
      <w:sz w:val="26"/>
      <w:szCs w:val="20"/>
    </w:rPr>
  </w:style>
  <w:style w:type="character" w:customStyle="1" w:styleId="NagwekZnak">
    <w:name w:val="Nagłówek Znak"/>
    <w:basedOn w:val="Domylnaczcionkaakapitu"/>
    <w:link w:val="Nagwek"/>
    <w:rsid w:val="00486DE4"/>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486DE4"/>
    <w:pPr>
      <w:spacing w:after="120"/>
      <w:ind w:left="283"/>
    </w:pPr>
  </w:style>
  <w:style w:type="character" w:customStyle="1" w:styleId="TekstpodstawowywcityZnak">
    <w:name w:val="Tekst podstawowy wcięty Znak"/>
    <w:basedOn w:val="Domylnaczcionkaakapitu"/>
    <w:link w:val="Tekstpodstawowywcity"/>
    <w:rsid w:val="00486DE4"/>
    <w:rPr>
      <w:rFonts w:ascii="Times New Roman" w:eastAsia="Times New Roman" w:hAnsi="Times New Roman" w:cs="Times New Roman"/>
      <w:sz w:val="24"/>
      <w:szCs w:val="24"/>
      <w:lang w:eastAsia="pl-PL"/>
    </w:rPr>
  </w:style>
  <w:style w:type="paragraph" w:styleId="Tekstblokowy">
    <w:name w:val="Block Text"/>
    <w:basedOn w:val="Normalny"/>
    <w:rsid w:val="00486DE4"/>
    <w:pPr>
      <w:ind w:left="720" w:right="-283" w:hanging="360"/>
    </w:pPr>
    <w:rPr>
      <w:rFonts w:ascii="Arial" w:hAnsi="Arial" w:cs="Arial"/>
    </w:rPr>
  </w:style>
  <w:style w:type="paragraph" w:styleId="Tekstpodstawowy">
    <w:name w:val="Body Text"/>
    <w:basedOn w:val="Normalny"/>
    <w:link w:val="TekstpodstawowyZnak"/>
    <w:unhideWhenUsed/>
    <w:rsid w:val="00486DE4"/>
    <w:pPr>
      <w:spacing w:after="120"/>
    </w:pPr>
  </w:style>
  <w:style w:type="character" w:customStyle="1" w:styleId="TekstpodstawowyZnak">
    <w:name w:val="Tekst podstawowy Znak"/>
    <w:basedOn w:val="Domylnaczcionkaakapitu"/>
    <w:link w:val="Tekstpodstawowy"/>
    <w:rsid w:val="00486DE4"/>
    <w:rPr>
      <w:rFonts w:ascii="Times New Roman" w:eastAsia="Times New Roman" w:hAnsi="Times New Roman" w:cs="Times New Roman"/>
      <w:sz w:val="24"/>
      <w:szCs w:val="24"/>
      <w:lang w:eastAsia="pl-PL"/>
    </w:rPr>
  </w:style>
  <w:style w:type="paragraph" w:styleId="Legenda">
    <w:name w:val="caption"/>
    <w:basedOn w:val="Normalny"/>
    <w:next w:val="Normalny"/>
    <w:qFormat/>
    <w:rsid w:val="00486DE4"/>
    <w:pPr>
      <w:spacing w:line="240" w:lineRule="auto"/>
      <w:ind w:firstLine="0"/>
      <w:jc w:val="left"/>
    </w:pPr>
    <w:rPr>
      <w:rFonts w:ascii="Courier" w:hAnsi="Courier"/>
      <w:szCs w:val="20"/>
    </w:rPr>
  </w:style>
  <w:style w:type="paragraph" w:styleId="Akapitzlist">
    <w:name w:val="List Paragraph"/>
    <w:basedOn w:val="Normalny"/>
    <w:uiPriority w:val="34"/>
    <w:qFormat/>
    <w:rsid w:val="00486DE4"/>
    <w:pPr>
      <w:spacing w:line="240" w:lineRule="auto"/>
      <w:ind w:left="708" w:firstLine="0"/>
      <w:jc w:val="left"/>
    </w:pPr>
    <w:rPr>
      <w:rFonts w:ascii="Courier" w:hAnsi="Courier"/>
      <w:szCs w:val="20"/>
    </w:rPr>
  </w:style>
  <w:style w:type="character" w:customStyle="1" w:styleId="podpunkt">
    <w:name w:val="podpunkt"/>
    <w:rsid w:val="00486DE4"/>
    <w:rPr>
      <w:rFonts w:ascii="Times New Roman" w:hAnsi="Times New Roman"/>
      <w:b/>
    </w:rPr>
  </w:style>
  <w:style w:type="paragraph" w:customStyle="1" w:styleId="Standardowytekst">
    <w:name w:val="Standardowy.tekst"/>
    <w:rsid w:val="00486DE4"/>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486DE4"/>
    <w:pPr>
      <w:overflowPunct w:val="0"/>
      <w:autoSpaceDE w:val="0"/>
      <w:autoSpaceDN w:val="0"/>
      <w:adjustRightInd w:val="0"/>
      <w:spacing w:line="240" w:lineRule="auto"/>
      <w:ind w:firstLine="0"/>
      <w:textAlignment w:val="baseline"/>
    </w:pPr>
    <w:rPr>
      <w:sz w:val="20"/>
      <w:szCs w:val="20"/>
    </w:rPr>
  </w:style>
  <w:style w:type="paragraph" w:styleId="Tekstdymka">
    <w:name w:val="Balloon Text"/>
    <w:basedOn w:val="Normalny"/>
    <w:link w:val="TekstdymkaZnak"/>
    <w:uiPriority w:val="99"/>
    <w:semiHidden/>
    <w:unhideWhenUsed/>
    <w:rsid w:val="00486DE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6DE4"/>
    <w:rPr>
      <w:rFonts w:ascii="Tahoma" w:eastAsia="Times New Roman" w:hAnsi="Tahoma" w:cs="Tahoma"/>
      <w:sz w:val="16"/>
      <w:szCs w:val="16"/>
      <w:lang w:eastAsia="pl-PL"/>
    </w:rPr>
  </w:style>
  <w:style w:type="paragraph" w:styleId="Stopka">
    <w:name w:val="footer"/>
    <w:basedOn w:val="Normalny"/>
    <w:link w:val="StopkaZnak"/>
    <w:uiPriority w:val="99"/>
    <w:unhideWhenUsed/>
    <w:rsid w:val="00B958F0"/>
    <w:pPr>
      <w:tabs>
        <w:tab w:val="center" w:pos="4536"/>
        <w:tab w:val="right" w:pos="9072"/>
      </w:tabs>
      <w:spacing w:line="240" w:lineRule="auto"/>
    </w:pPr>
  </w:style>
  <w:style w:type="character" w:customStyle="1" w:styleId="StopkaZnak">
    <w:name w:val="Stopka Znak"/>
    <w:basedOn w:val="Domylnaczcionkaakapitu"/>
    <w:link w:val="Stopka"/>
    <w:uiPriority w:val="99"/>
    <w:rsid w:val="00B958F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13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A335-CFF2-4B26-B9A2-EE853125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2391</Words>
  <Characters>14347</Characters>
  <Application>Microsoft Office Word</Application>
  <DocSecurity>0</DocSecurity>
  <Lines>119</Lines>
  <Paragraphs>33</Paragraphs>
  <ScaleCrop>false</ScaleCrop>
  <Company>Scott Wilson Sp. z o.o</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 Sp. z.o.o.</dc:creator>
  <cp:lastModifiedBy>Scott Wilson Sp. z.o.o.</cp:lastModifiedBy>
  <cp:revision>11</cp:revision>
  <dcterms:created xsi:type="dcterms:W3CDTF">2012-05-16T11:45:00Z</dcterms:created>
  <dcterms:modified xsi:type="dcterms:W3CDTF">2012-08-27T09:55:00Z</dcterms:modified>
</cp:coreProperties>
</file>